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542" w:rsidRPr="00864326" w:rsidRDefault="00003542" w:rsidP="00003542">
      <w:pPr>
        <w:ind w:left="1843" w:right="1983"/>
        <w:jc w:val="both"/>
        <w:rPr>
          <w:rFonts w:ascii="Tahoma" w:hAnsi="Tahoma" w:cs="Tahoma"/>
          <w:i/>
          <w:sz w:val="22"/>
          <w:szCs w:val="22"/>
        </w:rPr>
      </w:pPr>
      <w:r w:rsidRPr="00864326">
        <w:rPr>
          <w:rFonts w:ascii="Tahoma" w:hAnsi="Tahoma" w:cs="Tahoma"/>
          <w:b/>
          <w:i/>
          <w:sz w:val="22"/>
          <w:szCs w:val="22"/>
        </w:rPr>
        <w:t>Sumilla   :</w:t>
      </w:r>
      <w:r w:rsidRPr="00864326">
        <w:rPr>
          <w:rFonts w:ascii="Tahoma" w:hAnsi="Tahoma" w:cs="Tahoma"/>
          <w:i/>
          <w:sz w:val="22"/>
          <w:szCs w:val="22"/>
        </w:rPr>
        <w:t xml:space="preserve"> </w:t>
      </w:r>
      <w:r w:rsidRPr="00864326">
        <w:rPr>
          <w:rFonts w:ascii="Tahoma" w:hAnsi="Tahoma" w:cs="Tahoma"/>
          <w:i/>
          <w:sz w:val="22"/>
          <w:szCs w:val="22"/>
        </w:rPr>
        <w:tab/>
        <w:t>“</w:t>
      </w:r>
      <w:r>
        <w:rPr>
          <w:rFonts w:ascii="Tahoma" w:hAnsi="Tahoma" w:cs="Tahoma"/>
          <w:i/>
          <w:sz w:val="22"/>
          <w:szCs w:val="22"/>
        </w:rPr>
        <w:t>Por los fundamentos antes expuestos, corresponde declarar no ha lugar la imposición de sanción a la Denunciada</w:t>
      </w:r>
      <w:r w:rsidRPr="00864326">
        <w:rPr>
          <w:rFonts w:ascii="Tahoma" w:hAnsi="Tahoma" w:cs="Tahoma"/>
          <w:i/>
          <w:sz w:val="22"/>
          <w:szCs w:val="22"/>
        </w:rPr>
        <w:t>”</w:t>
      </w:r>
    </w:p>
    <w:p w:rsidR="00003542" w:rsidRPr="00864326" w:rsidRDefault="00003542" w:rsidP="00003542">
      <w:pPr>
        <w:pStyle w:val="Textoindependiente3"/>
        <w:spacing w:after="0"/>
        <w:rPr>
          <w:rFonts w:ascii="Tahoma" w:hAnsi="Tahoma" w:cs="Tahoma"/>
          <w:i/>
          <w:sz w:val="22"/>
          <w:szCs w:val="22"/>
          <w:lang w:val="es-ES"/>
        </w:rPr>
      </w:pPr>
    </w:p>
    <w:p w:rsidR="00003542" w:rsidRPr="00864326" w:rsidRDefault="00003542" w:rsidP="00003542">
      <w:pPr>
        <w:pStyle w:val="Textoindependiente3"/>
        <w:spacing w:after="0"/>
        <w:ind w:left="5387"/>
        <w:jc w:val="both"/>
        <w:rPr>
          <w:rFonts w:ascii="Tahoma" w:hAnsi="Tahoma" w:cs="Tahoma"/>
          <w:b/>
          <w:sz w:val="22"/>
          <w:szCs w:val="22"/>
        </w:rPr>
      </w:pPr>
    </w:p>
    <w:p w:rsidR="00003542" w:rsidRPr="00864326" w:rsidRDefault="00003542" w:rsidP="00003542">
      <w:pPr>
        <w:pStyle w:val="Textoindependiente3"/>
        <w:spacing w:after="0"/>
        <w:ind w:left="5387"/>
        <w:jc w:val="both"/>
        <w:rPr>
          <w:rFonts w:ascii="Tahoma" w:hAnsi="Tahoma" w:cs="Tahoma"/>
          <w:b/>
          <w:sz w:val="22"/>
          <w:szCs w:val="22"/>
        </w:rPr>
      </w:pPr>
      <w:r w:rsidRPr="00864326">
        <w:rPr>
          <w:rFonts w:ascii="Tahoma" w:hAnsi="Tahoma" w:cs="Tahoma"/>
          <w:b/>
          <w:sz w:val="22"/>
          <w:szCs w:val="22"/>
        </w:rPr>
        <w:t>Lima,</w:t>
      </w:r>
      <w:r w:rsidR="005E6DFB">
        <w:rPr>
          <w:rFonts w:ascii="Tahoma" w:hAnsi="Tahoma" w:cs="Tahoma"/>
          <w:b/>
          <w:sz w:val="22"/>
          <w:szCs w:val="22"/>
        </w:rPr>
        <w:t xml:space="preserve"> 12 de Abril  de 2011</w:t>
      </w:r>
    </w:p>
    <w:p w:rsidR="00003542" w:rsidRPr="00864326" w:rsidRDefault="00003542" w:rsidP="00003542">
      <w:pPr>
        <w:pStyle w:val="Textoindependiente3"/>
        <w:spacing w:after="0"/>
        <w:ind w:left="5387"/>
        <w:jc w:val="both"/>
        <w:rPr>
          <w:rFonts w:ascii="Tahoma" w:hAnsi="Tahoma" w:cs="Tahoma"/>
          <w:b/>
          <w:sz w:val="22"/>
          <w:szCs w:val="22"/>
        </w:rPr>
      </w:pPr>
    </w:p>
    <w:p w:rsidR="00003542" w:rsidRDefault="00003542" w:rsidP="00003542">
      <w:pPr>
        <w:ind w:firstLine="567"/>
        <w:contextualSpacing/>
        <w:jc w:val="both"/>
        <w:rPr>
          <w:rFonts w:ascii="Tahoma" w:hAnsi="Tahoma" w:cs="Tahoma"/>
          <w:sz w:val="22"/>
          <w:szCs w:val="22"/>
        </w:rPr>
      </w:pPr>
      <w:r w:rsidRPr="00864326">
        <w:rPr>
          <w:rFonts w:ascii="Tahoma" w:hAnsi="Tahoma" w:cs="Tahoma"/>
          <w:b/>
          <w:sz w:val="22"/>
          <w:szCs w:val="22"/>
        </w:rPr>
        <w:t xml:space="preserve">Visto </w:t>
      </w:r>
      <w:r>
        <w:rPr>
          <w:rFonts w:ascii="Tahoma" w:hAnsi="Tahoma" w:cs="Tahoma"/>
          <w:sz w:val="22"/>
          <w:szCs w:val="22"/>
        </w:rPr>
        <w:t>en sesión de fecha 12 de abril</w:t>
      </w:r>
      <w:r w:rsidRPr="00864326">
        <w:rPr>
          <w:rFonts w:ascii="Tahoma" w:hAnsi="Tahoma" w:cs="Tahoma"/>
          <w:sz w:val="22"/>
          <w:szCs w:val="22"/>
        </w:rPr>
        <w:t xml:space="preserve"> de 2011 la Primera Sala del Tribunal de Contrataciones </w:t>
      </w:r>
      <w:r>
        <w:rPr>
          <w:rFonts w:ascii="Tahoma" w:hAnsi="Tahoma" w:cs="Tahoma"/>
          <w:sz w:val="22"/>
          <w:szCs w:val="22"/>
        </w:rPr>
        <w:t>del Estado el Expediente N° 1160.2010</w:t>
      </w:r>
      <w:r w:rsidRPr="00864326">
        <w:rPr>
          <w:rFonts w:ascii="Tahoma" w:hAnsi="Tahoma" w:cs="Tahoma"/>
          <w:sz w:val="22"/>
          <w:szCs w:val="22"/>
        </w:rPr>
        <w:t xml:space="preserve">-TC; sobre el procedimiento administrativo sancionador iniciado contra la empresa </w:t>
      </w:r>
      <w:r w:rsidRPr="0061253B">
        <w:rPr>
          <w:rFonts w:ascii="Tahoma" w:hAnsi="Tahoma" w:cs="Tahoma"/>
          <w:sz w:val="22"/>
          <w:szCs w:val="22"/>
        </w:rPr>
        <w:t>TERRAMAR INSPECTION &amp; TRADING S.A.C.</w:t>
      </w:r>
      <w:r w:rsidRPr="00864326">
        <w:rPr>
          <w:rFonts w:ascii="Tahoma" w:hAnsi="Tahoma" w:cs="Tahoma"/>
          <w:sz w:val="22"/>
          <w:szCs w:val="22"/>
        </w:rPr>
        <w:t xml:space="preserve">, por supuesta responsabilidad </w:t>
      </w:r>
      <w:r>
        <w:rPr>
          <w:rFonts w:ascii="Tahoma" w:hAnsi="Tahoma" w:cs="Tahoma"/>
          <w:sz w:val="22"/>
          <w:szCs w:val="22"/>
          <w:lang w:eastAsia="es-PE"/>
        </w:rPr>
        <w:t>al</w:t>
      </w:r>
      <w:r w:rsidRPr="000D7649">
        <w:rPr>
          <w:rFonts w:ascii="Tahoma" w:hAnsi="Tahoma" w:cs="Tahoma"/>
          <w:sz w:val="22"/>
          <w:szCs w:val="22"/>
          <w:lang w:eastAsia="es-PE"/>
        </w:rPr>
        <w:t xml:space="preserve"> no haber suscrito </w:t>
      </w:r>
      <w:r>
        <w:rPr>
          <w:rFonts w:ascii="Tahoma" w:hAnsi="Tahoma" w:cs="Tahoma"/>
          <w:sz w:val="22"/>
          <w:szCs w:val="22"/>
          <w:lang w:eastAsia="es-PE"/>
        </w:rPr>
        <w:t xml:space="preserve">injustificadamente </w:t>
      </w:r>
      <w:r w:rsidRPr="00E425E5">
        <w:rPr>
          <w:rFonts w:ascii="Tahoma" w:eastAsiaTheme="minorHAnsi" w:hAnsi="Tahoma" w:cs="Tahoma"/>
          <w:iCs/>
          <w:color w:val="000000"/>
          <w:sz w:val="22"/>
          <w:szCs w:val="22"/>
          <w:lang w:eastAsia="en-US"/>
        </w:rPr>
        <w:t>la Orden de Trabajo a Terceros</w:t>
      </w:r>
      <w:r w:rsidRPr="000D7649">
        <w:rPr>
          <w:rFonts w:ascii="Tahoma" w:hAnsi="Tahoma" w:cs="Tahoma"/>
          <w:sz w:val="22"/>
          <w:szCs w:val="22"/>
          <w:lang w:eastAsia="es-PE"/>
        </w:rPr>
        <w:t xml:space="preserve"> derivado de</w:t>
      </w:r>
      <w:r>
        <w:rPr>
          <w:rFonts w:ascii="Tahoma" w:hAnsi="Tahoma" w:cs="Tahoma"/>
          <w:sz w:val="22"/>
          <w:szCs w:val="22"/>
          <w:lang w:eastAsia="es-PE"/>
        </w:rPr>
        <w:t>l</w:t>
      </w:r>
      <w:r w:rsidRPr="000D7649">
        <w:rPr>
          <w:rFonts w:ascii="Tahoma" w:hAnsi="Tahoma" w:cs="Tahoma"/>
          <w:sz w:val="22"/>
          <w:szCs w:val="22"/>
          <w:lang w:eastAsia="es-PE"/>
        </w:rPr>
        <w:t xml:space="preserve"> </w:t>
      </w:r>
      <w:r w:rsidRPr="00E425E5">
        <w:rPr>
          <w:rFonts w:ascii="Tahoma" w:eastAsiaTheme="minorHAnsi" w:hAnsi="Tahoma" w:cs="Tahoma"/>
          <w:iCs/>
          <w:color w:val="000000"/>
          <w:sz w:val="22"/>
          <w:szCs w:val="22"/>
          <w:lang w:eastAsia="en-US"/>
        </w:rPr>
        <w:t>Proceso por Competencia Menor Nº CME-0349-2009-OTL/PETROPERU</w:t>
      </w:r>
      <w:r w:rsidRPr="000D7649">
        <w:rPr>
          <w:rFonts w:ascii="Tahoma" w:hAnsi="Tahoma" w:cs="Tahoma"/>
          <w:sz w:val="22"/>
          <w:szCs w:val="22"/>
        </w:rPr>
        <w:t xml:space="preserve">, a pesar de haber sido </w:t>
      </w:r>
      <w:r>
        <w:rPr>
          <w:rFonts w:ascii="Tahoma" w:hAnsi="Tahoma" w:cs="Tahoma"/>
          <w:sz w:val="22"/>
          <w:szCs w:val="22"/>
        </w:rPr>
        <w:t>ganador del otorgamiento de la Buena P</w:t>
      </w:r>
      <w:r w:rsidRPr="000D7649">
        <w:rPr>
          <w:rFonts w:ascii="Tahoma" w:hAnsi="Tahoma" w:cs="Tahoma"/>
          <w:sz w:val="22"/>
          <w:szCs w:val="22"/>
        </w:rPr>
        <w:t>ro</w:t>
      </w:r>
      <w:r>
        <w:rPr>
          <w:rFonts w:ascii="Tahoma" w:hAnsi="Tahoma" w:cs="Tahoma"/>
          <w:sz w:val="22"/>
          <w:szCs w:val="22"/>
        </w:rPr>
        <w:t>.</w:t>
      </w:r>
    </w:p>
    <w:p w:rsidR="00003542" w:rsidRPr="00864326" w:rsidRDefault="00003542" w:rsidP="00003542">
      <w:pPr>
        <w:ind w:firstLine="567"/>
        <w:contextualSpacing/>
        <w:jc w:val="both"/>
        <w:rPr>
          <w:rFonts w:ascii="Tahoma" w:hAnsi="Tahoma" w:cs="Tahoma"/>
          <w:b/>
          <w:sz w:val="22"/>
          <w:szCs w:val="22"/>
          <w:lang w:val="es-ES_tradnl"/>
        </w:rPr>
      </w:pPr>
    </w:p>
    <w:p w:rsidR="00003542" w:rsidRPr="00864326" w:rsidRDefault="00003542" w:rsidP="00003542">
      <w:pPr>
        <w:pStyle w:val="Prrafodelista"/>
        <w:numPr>
          <w:ilvl w:val="0"/>
          <w:numId w:val="1"/>
        </w:numPr>
        <w:ind w:left="567" w:hanging="425"/>
        <w:rPr>
          <w:rFonts w:ascii="Tahoma" w:hAnsi="Tahoma" w:cs="Tahoma"/>
          <w:b/>
          <w:sz w:val="22"/>
          <w:szCs w:val="22"/>
        </w:rPr>
      </w:pPr>
      <w:r w:rsidRPr="00864326">
        <w:rPr>
          <w:rFonts w:ascii="Tahoma" w:hAnsi="Tahoma" w:cs="Tahoma"/>
          <w:b/>
          <w:sz w:val="22"/>
          <w:szCs w:val="22"/>
        </w:rPr>
        <w:t>ANTECEDENTES:</w:t>
      </w:r>
    </w:p>
    <w:p w:rsidR="00003542" w:rsidRPr="00864326" w:rsidRDefault="00003542" w:rsidP="00003542">
      <w:pPr>
        <w:jc w:val="both"/>
        <w:rPr>
          <w:rFonts w:ascii="Tahoma" w:hAnsi="Tahoma" w:cs="Tahoma"/>
          <w:b/>
          <w:sz w:val="22"/>
          <w:szCs w:val="22"/>
          <w:lang w:eastAsia="es-PE"/>
        </w:rPr>
      </w:pPr>
    </w:p>
    <w:p w:rsidR="00003542" w:rsidRDefault="00003542" w:rsidP="00003542">
      <w:pPr>
        <w:numPr>
          <w:ilvl w:val="0"/>
          <w:numId w:val="13"/>
        </w:numPr>
        <w:tabs>
          <w:tab w:val="clear" w:pos="454"/>
        </w:tabs>
        <w:ind w:left="567" w:right="-1" w:hanging="567"/>
        <w:jc w:val="both"/>
        <w:rPr>
          <w:rFonts w:ascii="Tahoma" w:hAnsi="Tahoma" w:cs="Tahoma"/>
          <w:sz w:val="22"/>
          <w:szCs w:val="22"/>
        </w:rPr>
      </w:pPr>
      <w:r w:rsidRPr="0061253B">
        <w:rPr>
          <w:rFonts w:ascii="Tahoma" w:hAnsi="Tahoma" w:cs="Tahoma"/>
          <w:sz w:val="22"/>
          <w:szCs w:val="22"/>
        </w:rPr>
        <w:t xml:space="preserve">Del 29 de diciembre de 2009 al15 de enero de 2010, </w:t>
      </w:r>
      <w:r w:rsidRPr="0061253B">
        <w:rPr>
          <w:rFonts w:ascii="Tahoma" w:hAnsi="Tahoma" w:cs="Tahoma"/>
          <w:sz w:val="22"/>
          <w:szCs w:val="22"/>
          <w:lang w:val="es-PE"/>
        </w:rPr>
        <w:t>PETROLEOS DEL PERU S.A. - PETROPERÚ</w:t>
      </w:r>
      <w:r w:rsidRPr="0061253B">
        <w:rPr>
          <w:rFonts w:ascii="Tahoma" w:hAnsi="Tahoma" w:cs="Tahoma"/>
          <w:sz w:val="22"/>
          <w:szCs w:val="22"/>
        </w:rPr>
        <w:t>, en lo sucesivo la Entidad, realizó la venta y/o entrega de las Bases del proceso de selección por Competencia Menor Nº CME-0349-2009-OTL/PETROPERU (Primera Convocatoria), para contratar el “Servicio de consultoría elaboración del estudio de riesgos para planta de ventas Piura”, por un monto estimado referencial reservado.</w:t>
      </w:r>
    </w:p>
    <w:p w:rsidR="00003542" w:rsidRPr="0061253B" w:rsidRDefault="00003542" w:rsidP="00003542">
      <w:pPr>
        <w:ind w:left="567" w:right="-1"/>
        <w:jc w:val="both"/>
        <w:rPr>
          <w:rFonts w:ascii="Tahoma" w:hAnsi="Tahoma" w:cs="Tahoma"/>
          <w:sz w:val="22"/>
          <w:szCs w:val="22"/>
        </w:rPr>
      </w:pPr>
    </w:p>
    <w:p w:rsidR="00003542" w:rsidRDefault="00003542" w:rsidP="00003542">
      <w:pPr>
        <w:numPr>
          <w:ilvl w:val="0"/>
          <w:numId w:val="13"/>
        </w:numPr>
        <w:tabs>
          <w:tab w:val="clear" w:pos="454"/>
        </w:tabs>
        <w:ind w:left="567" w:right="-1" w:hanging="567"/>
        <w:jc w:val="both"/>
        <w:rPr>
          <w:rFonts w:ascii="Tahoma" w:hAnsi="Tahoma" w:cs="Tahoma"/>
          <w:sz w:val="22"/>
          <w:szCs w:val="22"/>
        </w:rPr>
      </w:pPr>
      <w:r>
        <w:rPr>
          <w:rFonts w:ascii="Tahoma" w:hAnsi="Tahoma" w:cs="Tahoma"/>
          <w:sz w:val="22"/>
          <w:szCs w:val="22"/>
        </w:rPr>
        <w:t>El 15 de enero del 2010, se llevó a cabo el</w:t>
      </w:r>
      <w:r w:rsidRPr="00FE2E4D">
        <w:rPr>
          <w:rFonts w:ascii="Tahoma" w:hAnsi="Tahoma" w:cs="Tahoma"/>
          <w:sz w:val="22"/>
          <w:szCs w:val="22"/>
        </w:rPr>
        <w:t xml:space="preserve"> acto de presentación </w:t>
      </w:r>
      <w:r>
        <w:rPr>
          <w:rFonts w:ascii="Tahoma" w:hAnsi="Tahoma" w:cs="Tahoma"/>
          <w:sz w:val="22"/>
          <w:szCs w:val="22"/>
        </w:rPr>
        <w:t xml:space="preserve">de propuestas, en el cual se presentó, entre otras, la empresa </w:t>
      </w:r>
      <w:r w:rsidRPr="0061253B">
        <w:rPr>
          <w:rFonts w:ascii="Tahoma" w:hAnsi="Tahoma" w:cs="Tahoma"/>
          <w:sz w:val="22"/>
          <w:szCs w:val="22"/>
        </w:rPr>
        <w:t>TERRAMAR INSPECTION &amp; TRADING S.A.C.</w:t>
      </w:r>
      <w:r>
        <w:rPr>
          <w:rFonts w:ascii="Tahoma" w:hAnsi="Tahoma" w:cs="Tahoma"/>
          <w:sz w:val="22"/>
          <w:szCs w:val="22"/>
        </w:rPr>
        <w:t>, en adelante el Postor.</w:t>
      </w:r>
    </w:p>
    <w:p w:rsidR="00003542" w:rsidRDefault="00003542" w:rsidP="00003542">
      <w:pPr>
        <w:pStyle w:val="Prrafodelista"/>
        <w:rPr>
          <w:rFonts w:ascii="Tahoma" w:hAnsi="Tahoma" w:cs="Tahoma"/>
          <w:sz w:val="22"/>
          <w:szCs w:val="22"/>
        </w:rPr>
      </w:pPr>
    </w:p>
    <w:p w:rsidR="00003542" w:rsidRPr="00FE2E4D" w:rsidRDefault="00003542" w:rsidP="00003542">
      <w:pPr>
        <w:numPr>
          <w:ilvl w:val="0"/>
          <w:numId w:val="13"/>
        </w:numPr>
        <w:tabs>
          <w:tab w:val="clear" w:pos="454"/>
        </w:tabs>
        <w:ind w:left="567" w:right="-1" w:hanging="567"/>
        <w:jc w:val="both"/>
        <w:rPr>
          <w:rFonts w:ascii="Tahoma" w:hAnsi="Tahoma" w:cs="Tahoma"/>
          <w:sz w:val="22"/>
          <w:szCs w:val="22"/>
        </w:rPr>
      </w:pPr>
      <w:r>
        <w:rPr>
          <w:rFonts w:ascii="Tahoma" w:hAnsi="Tahoma" w:cs="Tahoma"/>
          <w:sz w:val="22"/>
          <w:szCs w:val="22"/>
        </w:rPr>
        <w:t>Con fecha 22 de enero de 2010, se realizó el acto de otorgamiento de la Buena Pro, la misma que fue adjudicada a favor del Postor.</w:t>
      </w:r>
    </w:p>
    <w:p w:rsidR="00003542" w:rsidRPr="00837A2F" w:rsidRDefault="00003542" w:rsidP="00003542">
      <w:pPr>
        <w:pStyle w:val="Prrafodelista"/>
        <w:rPr>
          <w:rFonts w:ascii="Tahoma" w:hAnsi="Tahoma" w:cs="Tahoma"/>
          <w:sz w:val="22"/>
          <w:szCs w:val="22"/>
        </w:rPr>
      </w:pPr>
    </w:p>
    <w:p w:rsidR="00003542" w:rsidRDefault="00003542" w:rsidP="00003542">
      <w:pPr>
        <w:numPr>
          <w:ilvl w:val="0"/>
          <w:numId w:val="13"/>
        </w:numPr>
        <w:tabs>
          <w:tab w:val="clear" w:pos="454"/>
          <w:tab w:val="num" w:pos="540"/>
          <w:tab w:val="num" w:pos="567"/>
        </w:tabs>
        <w:ind w:left="540" w:right="-1" w:hanging="540"/>
        <w:jc w:val="both"/>
        <w:rPr>
          <w:rFonts w:ascii="Tahoma" w:hAnsi="Tahoma" w:cs="Tahoma"/>
          <w:sz w:val="22"/>
          <w:szCs w:val="22"/>
        </w:rPr>
      </w:pPr>
      <w:r>
        <w:rPr>
          <w:rFonts w:ascii="Tahoma" w:hAnsi="Tahoma" w:cs="Tahoma"/>
          <w:sz w:val="22"/>
          <w:szCs w:val="22"/>
        </w:rPr>
        <w:t>Mediante Carta Nº 060-2010-TIT de fecha 28 de enero de 2010, el Postor solicitó a la Entidad cinco (05) días hábiles adicionales para poder presentar los documentos previos a la Orden de Trabajo de Terceros (OTT), de acuerdo a lo dispuesto en el numeral 13.3 de las bases del proceso CME-0349-2009-OTL/PETROPERÚ.</w:t>
      </w:r>
    </w:p>
    <w:p w:rsidR="00003542" w:rsidRDefault="00003542" w:rsidP="00003542">
      <w:pPr>
        <w:pStyle w:val="Prrafodelista"/>
        <w:rPr>
          <w:rFonts w:ascii="Tahoma" w:hAnsi="Tahoma" w:cs="Tahoma"/>
          <w:sz w:val="22"/>
          <w:szCs w:val="22"/>
        </w:rPr>
      </w:pPr>
    </w:p>
    <w:p w:rsidR="00003542" w:rsidRDefault="00003542" w:rsidP="00003542">
      <w:pPr>
        <w:numPr>
          <w:ilvl w:val="0"/>
          <w:numId w:val="13"/>
        </w:numPr>
        <w:tabs>
          <w:tab w:val="clear" w:pos="454"/>
          <w:tab w:val="num" w:pos="540"/>
          <w:tab w:val="num" w:pos="567"/>
        </w:tabs>
        <w:ind w:left="540" w:right="-1" w:hanging="540"/>
        <w:jc w:val="both"/>
        <w:rPr>
          <w:rFonts w:ascii="Tahoma" w:hAnsi="Tahoma" w:cs="Tahoma"/>
          <w:sz w:val="22"/>
          <w:szCs w:val="22"/>
        </w:rPr>
      </w:pPr>
      <w:r>
        <w:rPr>
          <w:rFonts w:ascii="Tahoma" w:hAnsi="Tahoma" w:cs="Tahoma"/>
          <w:sz w:val="22"/>
          <w:szCs w:val="22"/>
        </w:rPr>
        <w:t>A través de la Carta Nº 077-2010-TIT de fecha 04 de febrero de 2010, el Postor comunicó a la Entidad su decisión de no hacer entrega de los documentos necesarios para la suscripción de la Orden de Trabajo a Terceros (OTT), por las siguientes razones:</w:t>
      </w:r>
    </w:p>
    <w:p w:rsidR="00003542" w:rsidRPr="003813DF" w:rsidRDefault="00003542" w:rsidP="00003542">
      <w:pPr>
        <w:rPr>
          <w:rFonts w:ascii="Tahoma" w:hAnsi="Tahoma" w:cs="Tahoma"/>
          <w:sz w:val="22"/>
          <w:szCs w:val="22"/>
        </w:rPr>
      </w:pPr>
    </w:p>
    <w:p w:rsidR="00003542" w:rsidRPr="00A43B9C" w:rsidRDefault="00003542" w:rsidP="00003542">
      <w:pPr>
        <w:pStyle w:val="Prrafodelista"/>
        <w:widowControl/>
        <w:numPr>
          <w:ilvl w:val="0"/>
          <w:numId w:val="14"/>
        </w:numPr>
        <w:suppressAutoHyphens w:val="0"/>
        <w:ind w:left="1134" w:right="-1" w:hanging="567"/>
        <w:jc w:val="both"/>
        <w:rPr>
          <w:rFonts w:ascii="Tahoma" w:hAnsi="Tahoma" w:cs="Tahoma"/>
          <w:sz w:val="22"/>
          <w:szCs w:val="22"/>
        </w:rPr>
      </w:pPr>
      <w:r w:rsidRPr="00A43B9C">
        <w:rPr>
          <w:rFonts w:ascii="Tahoma" w:hAnsi="Tahoma" w:cs="Tahoma"/>
          <w:sz w:val="22"/>
          <w:szCs w:val="22"/>
        </w:rPr>
        <w:t xml:space="preserve">Existió un error en el presupuesto de estudio de riesgos, desarrollado por un ingeniero que se encontraba de viaje, toda vez que no incluyó la moneda en la que fue trabajado, ocasionando que al adecuar su propuesta </w:t>
      </w:r>
      <w:r w:rsidRPr="00A43B9C">
        <w:rPr>
          <w:rFonts w:ascii="Tahoma" w:hAnsi="Tahoma" w:cs="Tahoma"/>
          <w:sz w:val="22"/>
          <w:szCs w:val="22"/>
        </w:rPr>
        <w:lastRenderedPageBreak/>
        <w:t>al formato solicita</w:t>
      </w:r>
      <w:r>
        <w:rPr>
          <w:rFonts w:ascii="Tahoma" w:hAnsi="Tahoma" w:cs="Tahoma"/>
          <w:sz w:val="22"/>
          <w:szCs w:val="22"/>
        </w:rPr>
        <w:t>do</w:t>
      </w:r>
      <w:r w:rsidRPr="00A43B9C">
        <w:rPr>
          <w:rFonts w:ascii="Tahoma" w:hAnsi="Tahoma" w:cs="Tahoma"/>
          <w:sz w:val="22"/>
          <w:szCs w:val="22"/>
        </w:rPr>
        <w:t xml:space="preserve"> por la Entidad, se asumió que el mismo estaba inicialmente en nuevos soles y se hizo la conversión a dólares.</w:t>
      </w:r>
    </w:p>
    <w:p w:rsidR="00003542" w:rsidRDefault="00003542" w:rsidP="00003542">
      <w:pPr>
        <w:ind w:left="1134" w:right="-1" w:hanging="567"/>
        <w:jc w:val="both"/>
        <w:rPr>
          <w:rFonts w:ascii="Tahoma" w:hAnsi="Tahoma" w:cs="Tahoma"/>
          <w:sz w:val="22"/>
          <w:szCs w:val="22"/>
        </w:rPr>
      </w:pPr>
    </w:p>
    <w:p w:rsidR="00003542" w:rsidRPr="00A43B9C" w:rsidRDefault="00003542" w:rsidP="00003542">
      <w:pPr>
        <w:pStyle w:val="Prrafodelista"/>
        <w:widowControl/>
        <w:numPr>
          <w:ilvl w:val="0"/>
          <w:numId w:val="14"/>
        </w:numPr>
        <w:suppressAutoHyphens w:val="0"/>
        <w:ind w:left="1134" w:right="-1" w:hanging="567"/>
        <w:jc w:val="both"/>
        <w:rPr>
          <w:rFonts w:ascii="Tahoma" w:hAnsi="Tahoma" w:cs="Tahoma"/>
          <w:sz w:val="22"/>
          <w:szCs w:val="22"/>
        </w:rPr>
      </w:pPr>
      <w:r w:rsidRPr="00A43B9C">
        <w:rPr>
          <w:rFonts w:ascii="Tahoma" w:hAnsi="Tahoma" w:cs="Tahoma"/>
          <w:sz w:val="22"/>
          <w:szCs w:val="22"/>
        </w:rPr>
        <w:t>El error incurrido se puede advertir en la evaluación y comparación de su propuesta con las propuestas de los demás postores, toda vez que existe una notable diferencia entre las tres propuestas económicas, en la misma proporción al error cometido en la conversión y redacción de su propuesta económica al formato solicitado por PETROPERÚ; por lo tanto, la desmedida diferencia de precios torna imposible la prestación del servicio.</w:t>
      </w:r>
    </w:p>
    <w:p w:rsidR="00003542" w:rsidRDefault="00003542" w:rsidP="00003542">
      <w:pPr>
        <w:ind w:left="1134" w:right="-1" w:hanging="567"/>
        <w:jc w:val="both"/>
        <w:rPr>
          <w:rFonts w:ascii="Tahoma" w:hAnsi="Tahoma" w:cs="Tahoma"/>
          <w:sz w:val="22"/>
          <w:szCs w:val="22"/>
        </w:rPr>
      </w:pPr>
    </w:p>
    <w:p w:rsidR="00003542" w:rsidRPr="00A43B9C" w:rsidRDefault="00003542" w:rsidP="00003542">
      <w:pPr>
        <w:pStyle w:val="Prrafodelista"/>
        <w:widowControl/>
        <w:numPr>
          <w:ilvl w:val="0"/>
          <w:numId w:val="14"/>
        </w:numPr>
        <w:suppressAutoHyphens w:val="0"/>
        <w:ind w:left="1134" w:right="-1" w:hanging="567"/>
        <w:jc w:val="both"/>
        <w:rPr>
          <w:rFonts w:ascii="Tahoma" w:hAnsi="Tahoma" w:cs="Tahoma"/>
          <w:sz w:val="22"/>
          <w:szCs w:val="22"/>
        </w:rPr>
      </w:pPr>
      <w:r w:rsidRPr="00A43B9C">
        <w:rPr>
          <w:rFonts w:ascii="Tahoma" w:hAnsi="Tahoma" w:cs="Tahoma"/>
          <w:sz w:val="22"/>
          <w:szCs w:val="22"/>
        </w:rPr>
        <w:t>El error producido representa un hecho que condiciona y limita su participación en la prestación del servicio, el cual debe desarrollarse con la mayor transparencia en lo que respecta a la calidad y experiencia del personal y del software a proporcionar para el desarrollo de la ingeniería y los estudios de riesgo, no pudiendo mantener dichos estándares con un tercio del monto real presupuestado producto de lo anteriormente señalado.</w:t>
      </w:r>
    </w:p>
    <w:p w:rsidR="00003542" w:rsidRDefault="00003542" w:rsidP="00003542">
      <w:pPr>
        <w:tabs>
          <w:tab w:val="num" w:pos="567"/>
        </w:tabs>
        <w:ind w:left="540" w:right="-1"/>
        <w:jc w:val="both"/>
        <w:rPr>
          <w:rFonts w:ascii="Tahoma" w:hAnsi="Tahoma" w:cs="Tahoma"/>
          <w:sz w:val="22"/>
          <w:szCs w:val="22"/>
        </w:rPr>
      </w:pPr>
    </w:p>
    <w:p w:rsidR="00003542" w:rsidRDefault="00003542" w:rsidP="00003542">
      <w:pPr>
        <w:numPr>
          <w:ilvl w:val="0"/>
          <w:numId w:val="13"/>
        </w:numPr>
        <w:tabs>
          <w:tab w:val="clear" w:pos="454"/>
          <w:tab w:val="num" w:pos="540"/>
          <w:tab w:val="num" w:pos="567"/>
        </w:tabs>
        <w:ind w:left="540" w:right="-1" w:hanging="540"/>
        <w:jc w:val="both"/>
        <w:rPr>
          <w:rFonts w:ascii="Tahoma" w:hAnsi="Tahoma" w:cs="Tahoma"/>
          <w:sz w:val="22"/>
          <w:szCs w:val="22"/>
        </w:rPr>
      </w:pPr>
      <w:r>
        <w:rPr>
          <w:rFonts w:ascii="Tahoma" w:hAnsi="Tahoma" w:cs="Tahoma"/>
          <w:sz w:val="22"/>
          <w:szCs w:val="22"/>
        </w:rPr>
        <w:t>Mediante Carta GOTL-SPAD-ULOG.CO.128-2010 presentado el 26 de agosto de 2010, publicado en el SEACE el 11 de febrero de 2010, se comunicó la pérdida de Buena Pro otorgado a favor del Postor.</w:t>
      </w:r>
    </w:p>
    <w:p w:rsidR="00003542" w:rsidRDefault="00003542" w:rsidP="00003542">
      <w:pPr>
        <w:tabs>
          <w:tab w:val="num" w:pos="567"/>
        </w:tabs>
        <w:ind w:left="540" w:right="-1"/>
        <w:jc w:val="both"/>
        <w:rPr>
          <w:rFonts w:ascii="Tahoma" w:hAnsi="Tahoma" w:cs="Tahoma"/>
          <w:sz w:val="22"/>
          <w:szCs w:val="22"/>
        </w:rPr>
      </w:pPr>
    </w:p>
    <w:p w:rsidR="00003542" w:rsidRDefault="00003542" w:rsidP="00003542">
      <w:pPr>
        <w:numPr>
          <w:ilvl w:val="0"/>
          <w:numId w:val="13"/>
        </w:numPr>
        <w:tabs>
          <w:tab w:val="clear" w:pos="454"/>
          <w:tab w:val="num" w:pos="567"/>
        </w:tabs>
        <w:ind w:left="540" w:right="-1" w:hanging="540"/>
        <w:jc w:val="both"/>
        <w:rPr>
          <w:rFonts w:ascii="Tahoma" w:hAnsi="Tahoma" w:cs="Tahoma"/>
          <w:sz w:val="22"/>
          <w:szCs w:val="22"/>
        </w:rPr>
      </w:pPr>
      <w:r w:rsidRPr="00837A2F">
        <w:rPr>
          <w:rFonts w:ascii="Tahoma" w:hAnsi="Tahoma" w:cs="Tahoma"/>
          <w:sz w:val="22"/>
          <w:szCs w:val="22"/>
        </w:rPr>
        <w:t xml:space="preserve">Con </w:t>
      </w:r>
      <w:r>
        <w:rPr>
          <w:rFonts w:ascii="Tahoma" w:hAnsi="Tahoma" w:cs="Tahoma"/>
          <w:sz w:val="22"/>
          <w:szCs w:val="22"/>
        </w:rPr>
        <w:t>Carta TL-SPAD-ULOG-CO-089-2010 presentado el 02 de setiembre de 2010</w:t>
      </w:r>
      <w:r w:rsidRPr="00837A2F">
        <w:rPr>
          <w:rFonts w:ascii="Tahoma" w:hAnsi="Tahoma" w:cs="Tahoma"/>
          <w:sz w:val="22"/>
          <w:szCs w:val="22"/>
        </w:rPr>
        <w:t>, la Entidad puso en conocimiento de este Tribunal de Contrataciones del Estado, en adelante el Tribunal, los hechos antes expuestos.</w:t>
      </w:r>
    </w:p>
    <w:p w:rsidR="00003542" w:rsidRPr="00837A2F" w:rsidRDefault="00003542" w:rsidP="00003542">
      <w:pPr>
        <w:tabs>
          <w:tab w:val="num" w:pos="567"/>
        </w:tabs>
        <w:ind w:left="540" w:right="-1"/>
        <w:jc w:val="both"/>
        <w:rPr>
          <w:rFonts w:ascii="Tahoma" w:hAnsi="Tahoma" w:cs="Tahoma"/>
          <w:sz w:val="22"/>
          <w:szCs w:val="22"/>
        </w:rPr>
      </w:pPr>
    </w:p>
    <w:p w:rsidR="00003542" w:rsidRPr="002C60BB" w:rsidRDefault="00003542" w:rsidP="00003542">
      <w:pPr>
        <w:numPr>
          <w:ilvl w:val="0"/>
          <w:numId w:val="13"/>
        </w:numPr>
        <w:tabs>
          <w:tab w:val="clear" w:pos="454"/>
          <w:tab w:val="num" w:pos="540"/>
          <w:tab w:val="num" w:pos="567"/>
        </w:tabs>
        <w:ind w:left="540" w:right="-1" w:hanging="540"/>
        <w:jc w:val="both"/>
        <w:rPr>
          <w:rFonts w:ascii="Tahoma" w:hAnsi="Tahoma" w:cs="Tahoma"/>
          <w:sz w:val="22"/>
          <w:szCs w:val="22"/>
        </w:rPr>
      </w:pPr>
      <w:r>
        <w:rPr>
          <w:rFonts w:ascii="Tahoma" w:hAnsi="Tahoma" w:cs="Tahoma"/>
          <w:sz w:val="22"/>
          <w:szCs w:val="22"/>
        </w:rPr>
        <w:t>Mediante</w:t>
      </w:r>
      <w:r w:rsidRPr="002C60BB">
        <w:rPr>
          <w:rFonts w:ascii="Tahoma" w:hAnsi="Tahoma" w:cs="Tahoma"/>
          <w:sz w:val="22"/>
          <w:szCs w:val="22"/>
        </w:rPr>
        <w:t xml:space="preserve"> decreto de fecha </w:t>
      </w:r>
      <w:r>
        <w:rPr>
          <w:rFonts w:ascii="Tahoma" w:hAnsi="Tahoma" w:cs="Tahoma"/>
          <w:sz w:val="22"/>
          <w:szCs w:val="22"/>
        </w:rPr>
        <w:t>07 de setiembre</w:t>
      </w:r>
      <w:r w:rsidRPr="002C60BB">
        <w:rPr>
          <w:rFonts w:ascii="Tahoma" w:hAnsi="Tahoma" w:cs="Tahoma"/>
          <w:sz w:val="22"/>
          <w:szCs w:val="22"/>
        </w:rPr>
        <w:t xml:space="preserve"> 2010, se inició procedimiento administrativo sancionador contra </w:t>
      </w:r>
      <w:r>
        <w:rPr>
          <w:rFonts w:ascii="Tahoma" w:hAnsi="Tahoma" w:cs="Tahoma"/>
          <w:sz w:val="22"/>
          <w:szCs w:val="22"/>
        </w:rPr>
        <w:t>el Postor</w:t>
      </w:r>
      <w:r w:rsidRPr="002C60BB">
        <w:rPr>
          <w:rFonts w:ascii="Tahoma" w:hAnsi="Tahoma" w:cs="Tahoma"/>
          <w:sz w:val="22"/>
          <w:szCs w:val="22"/>
        </w:rPr>
        <w:t xml:space="preserve">, por supuesta responsabilidad al </w:t>
      </w:r>
      <w:r>
        <w:rPr>
          <w:rFonts w:ascii="Tahoma" w:hAnsi="Tahoma" w:cs="Tahoma"/>
          <w:sz w:val="22"/>
          <w:szCs w:val="22"/>
        </w:rPr>
        <w:t xml:space="preserve">no </w:t>
      </w:r>
      <w:r w:rsidRPr="002C60BB">
        <w:rPr>
          <w:rFonts w:ascii="Tahoma" w:hAnsi="Tahoma" w:cs="Tahoma"/>
          <w:sz w:val="22"/>
          <w:szCs w:val="22"/>
        </w:rPr>
        <w:t xml:space="preserve">haber </w:t>
      </w:r>
      <w:r>
        <w:rPr>
          <w:rFonts w:ascii="Tahoma" w:hAnsi="Tahoma" w:cs="Tahoma"/>
          <w:sz w:val="22"/>
          <w:szCs w:val="22"/>
        </w:rPr>
        <w:t>suscrito injustificadamente el contrato, a pesar de haber resultado ganador del otorgamiento de la Buena Pro en el Proceso por Competencia Menor Nº 0349-2009-OTL/PETROPERÚ.</w:t>
      </w:r>
    </w:p>
    <w:p w:rsidR="00003542" w:rsidRPr="00837A2F" w:rsidRDefault="00003542" w:rsidP="00003542">
      <w:pPr>
        <w:contextualSpacing/>
        <w:jc w:val="both"/>
        <w:rPr>
          <w:rFonts w:ascii="Tahoma" w:hAnsi="Tahoma" w:cs="Tahoma"/>
          <w:sz w:val="22"/>
          <w:szCs w:val="22"/>
        </w:rPr>
      </w:pPr>
    </w:p>
    <w:p w:rsidR="00003542" w:rsidRPr="00837A2F" w:rsidRDefault="00003542" w:rsidP="00003542">
      <w:pPr>
        <w:ind w:left="567"/>
        <w:jc w:val="both"/>
        <w:rPr>
          <w:rFonts w:ascii="Tahoma" w:eastAsia="MS Mincho" w:hAnsi="Tahoma" w:cs="Tahoma"/>
          <w:sz w:val="22"/>
          <w:szCs w:val="22"/>
        </w:rPr>
      </w:pPr>
      <w:r w:rsidRPr="00837A2F">
        <w:rPr>
          <w:rFonts w:ascii="Tahoma" w:eastAsia="MS Mincho" w:hAnsi="Tahoma" w:cs="Tahoma"/>
          <w:sz w:val="22"/>
          <w:szCs w:val="22"/>
        </w:rPr>
        <w:t xml:space="preserve">Asimismo, se otorgó </w:t>
      </w:r>
      <w:r>
        <w:rPr>
          <w:rFonts w:ascii="Tahoma" w:eastAsia="MS Mincho" w:hAnsi="Tahoma" w:cs="Tahoma"/>
          <w:sz w:val="22"/>
          <w:szCs w:val="22"/>
        </w:rPr>
        <w:t xml:space="preserve">al Postor </w:t>
      </w:r>
      <w:r w:rsidRPr="00837A2F">
        <w:rPr>
          <w:rFonts w:ascii="Tahoma" w:eastAsia="MS Mincho" w:hAnsi="Tahoma" w:cs="Tahoma"/>
          <w:sz w:val="22"/>
          <w:szCs w:val="22"/>
        </w:rPr>
        <w:t>un plazo de diez (10) días hábiles para que cumpla</w:t>
      </w:r>
      <w:r>
        <w:rPr>
          <w:rFonts w:ascii="Tahoma" w:eastAsia="MS Mincho" w:hAnsi="Tahoma" w:cs="Tahoma"/>
          <w:sz w:val="22"/>
          <w:szCs w:val="22"/>
        </w:rPr>
        <w:t>n</w:t>
      </w:r>
      <w:r w:rsidRPr="00837A2F">
        <w:rPr>
          <w:rFonts w:ascii="Tahoma" w:eastAsia="MS Mincho" w:hAnsi="Tahoma" w:cs="Tahoma"/>
          <w:sz w:val="22"/>
          <w:szCs w:val="22"/>
        </w:rPr>
        <w:t xml:space="preserve"> con presentar sus descargos, bajo apercibimiento de resolver el procedimiento con la documentación obrante en el expediente.</w:t>
      </w:r>
    </w:p>
    <w:p w:rsidR="00003542" w:rsidRPr="00837A2F" w:rsidRDefault="00003542" w:rsidP="00003542">
      <w:pPr>
        <w:pStyle w:val="Prrafodelista"/>
        <w:rPr>
          <w:rFonts w:ascii="Tahoma" w:hAnsi="Tahoma" w:cs="Tahoma"/>
          <w:sz w:val="22"/>
          <w:szCs w:val="22"/>
        </w:rPr>
      </w:pPr>
    </w:p>
    <w:p w:rsidR="00003542" w:rsidRDefault="00003542" w:rsidP="00003542">
      <w:pPr>
        <w:numPr>
          <w:ilvl w:val="0"/>
          <w:numId w:val="13"/>
        </w:numPr>
        <w:tabs>
          <w:tab w:val="clear" w:pos="454"/>
          <w:tab w:val="num" w:pos="567"/>
        </w:tabs>
        <w:ind w:left="540" w:right="-1" w:hanging="540"/>
        <w:jc w:val="both"/>
        <w:rPr>
          <w:rFonts w:ascii="Tahoma" w:hAnsi="Tahoma" w:cs="Tahoma"/>
          <w:sz w:val="22"/>
          <w:szCs w:val="22"/>
        </w:rPr>
      </w:pPr>
      <w:r>
        <w:rPr>
          <w:rFonts w:ascii="Tahoma" w:hAnsi="Tahoma" w:cs="Tahoma"/>
          <w:sz w:val="22"/>
          <w:szCs w:val="22"/>
          <w:lang w:eastAsia="es-PE"/>
        </w:rPr>
        <w:t>A través del escrito presentado el 20 de diciembre de 2010, el Postor presentó su escrito de descargos, en el cual señaló lo siguiente:</w:t>
      </w:r>
    </w:p>
    <w:p w:rsidR="00003542" w:rsidRDefault="00003542" w:rsidP="00003542">
      <w:pPr>
        <w:ind w:left="540" w:right="-1"/>
        <w:jc w:val="both"/>
        <w:rPr>
          <w:rFonts w:ascii="Tahoma" w:hAnsi="Tahoma" w:cs="Tahoma"/>
          <w:sz w:val="22"/>
          <w:szCs w:val="22"/>
          <w:lang w:eastAsia="es-PE"/>
        </w:rPr>
      </w:pPr>
    </w:p>
    <w:p w:rsidR="00003542" w:rsidRPr="00412125" w:rsidRDefault="00003542" w:rsidP="00003542">
      <w:pPr>
        <w:pStyle w:val="Prrafodelista"/>
        <w:widowControl/>
        <w:numPr>
          <w:ilvl w:val="0"/>
          <w:numId w:val="15"/>
        </w:numPr>
        <w:suppressAutoHyphens w:val="0"/>
        <w:ind w:left="1134" w:right="-1" w:hanging="567"/>
        <w:jc w:val="both"/>
        <w:rPr>
          <w:rFonts w:ascii="Tahoma" w:hAnsi="Tahoma" w:cs="Tahoma"/>
          <w:sz w:val="22"/>
          <w:szCs w:val="22"/>
          <w:lang w:eastAsia="es-PE"/>
        </w:rPr>
      </w:pPr>
      <w:r w:rsidRPr="00412125">
        <w:rPr>
          <w:rFonts w:ascii="Tahoma" w:hAnsi="Tahoma" w:cs="Tahoma"/>
          <w:sz w:val="22"/>
          <w:szCs w:val="22"/>
          <w:lang w:eastAsia="es-PE"/>
        </w:rPr>
        <w:t xml:space="preserve">Conforme lo establece la normativa de Contrataciones del Estado, así como lo declarado, son responsables de la oferta presentada, obligándolos a mantener hasta la suscripción del contrato, no obstante ello, el error en que se incurrió al presupuestar y trasladar al formato el monto por un valor cercano a la tercera parte de su costo real, tornaba imposible la ejecución </w:t>
      </w:r>
      <w:r w:rsidRPr="00412125">
        <w:rPr>
          <w:rFonts w:ascii="Tahoma" w:hAnsi="Tahoma" w:cs="Tahoma"/>
          <w:sz w:val="22"/>
          <w:szCs w:val="22"/>
          <w:lang w:eastAsia="es-PE"/>
        </w:rPr>
        <w:lastRenderedPageBreak/>
        <w:t>del contrato, toda vez que, además de tratarse de una oferta diminuta también se vería seriamente afectado el patrimonio de la sociedad.</w:t>
      </w:r>
    </w:p>
    <w:p w:rsidR="00003542" w:rsidRDefault="00003542" w:rsidP="00003542">
      <w:pPr>
        <w:ind w:left="1134" w:right="-1" w:hanging="567"/>
        <w:jc w:val="both"/>
        <w:rPr>
          <w:rFonts w:ascii="Tahoma" w:hAnsi="Tahoma" w:cs="Tahoma"/>
          <w:sz w:val="22"/>
          <w:szCs w:val="22"/>
          <w:lang w:eastAsia="es-PE"/>
        </w:rPr>
      </w:pPr>
    </w:p>
    <w:p w:rsidR="00003542" w:rsidRPr="00412125" w:rsidRDefault="00003542" w:rsidP="00003542">
      <w:pPr>
        <w:pStyle w:val="Prrafodelista"/>
        <w:widowControl/>
        <w:numPr>
          <w:ilvl w:val="0"/>
          <w:numId w:val="15"/>
        </w:numPr>
        <w:suppressAutoHyphens w:val="0"/>
        <w:ind w:left="1134" w:right="-1" w:hanging="567"/>
        <w:jc w:val="both"/>
        <w:rPr>
          <w:rFonts w:ascii="Tahoma" w:hAnsi="Tahoma" w:cs="Tahoma"/>
          <w:sz w:val="22"/>
          <w:szCs w:val="22"/>
          <w:lang w:eastAsia="es-PE"/>
        </w:rPr>
      </w:pPr>
      <w:r w:rsidRPr="00412125">
        <w:rPr>
          <w:rFonts w:ascii="Tahoma" w:hAnsi="Tahoma" w:cs="Tahoma"/>
          <w:sz w:val="22"/>
          <w:szCs w:val="22"/>
          <w:lang w:eastAsia="es-PE"/>
        </w:rPr>
        <w:t>Asimismo, no obstante la causa justificante para la no aceptación de la Orden de Trabajo a Terceros (OTT), señalo que la Entidad no cumplió con las formalidades exigidas por la normativa para lograr la suscripción de dicha orden, toda vez que la Entidad emitió la Carta TL-ULOG-CO-0594-2010 del 10 de febrero de 2009, mediante la cual le da a conocer la perdida de la Buena Pro, sin haberse pronunciado expresamente sobre la solicitud de prórroga de 05 días para entregar los documentos necesarios para la suscripción de la OTT.</w:t>
      </w:r>
    </w:p>
    <w:p w:rsidR="00003542" w:rsidRDefault="00003542" w:rsidP="00003542">
      <w:pPr>
        <w:ind w:left="1134" w:right="-1" w:hanging="567"/>
        <w:jc w:val="both"/>
        <w:rPr>
          <w:rFonts w:ascii="Tahoma" w:hAnsi="Tahoma" w:cs="Tahoma"/>
          <w:sz w:val="22"/>
          <w:szCs w:val="22"/>
          <w:lang w:eastAsia="es-PE"/>
        </w:rPr>
      </w:pPr>
    </w:p>
    <w:p w:rsidR="00003542" w:rsidRPr="00412125" w:rsidRDefault="00003542" w:rsidP="00003542">
      <w:pPr>
        <w:pStyle w:val="Prrafodelista"/>
        <w:widowControl/>
        <w:numPr>
          <w:ilvl w:val="0"/>
          <w:numId w:val="15"/>
        </w:numPr>
        <w:suppressAutoHyphens w:val="0"/>
        <w:ind w:left="1134" w:right="-1" w:hanging="567"/>
        <w:jc w:val="both"/>
        <w:rPr>
          <w:rFonts w:ascii="Tahoma" w:hAnsi="Tahoma" w:cs="Tahoma"/>
          <w:sz w:val="22"/>
          <w:szCs w:val="22"/>
          <w:lang w:eastAsia="es-PE"/>
        </w:rPr>
      </w:pPr>
      <w:r w:rsidRPr="00412125">
        <w:rPr>
          <w:rFonts w:ascii="Tahoma" w:hAnsi="Tahoma" w:cs="Tahoma"/>
          <w:sz w:val="22"/>
          <w:szCs w:val="22"/>
          <w:lang w:eastAsia="es-PE"/>
        </w:rPr>
        <w:t>Así también, señaló que en las Bases no se ha regulado íntegramente el procedimiento para lograr la suscripción de dicha orden, al existir un vació legal respecto al procedimiento para notificar la oportunidad de suscribir la OTT, luego que la Entidad de la conformidad a los documentos presentados.</w:t>
      </w:r>
    </w:p>
    <w:p w:rsidR="00003542" w:rsidRDefault="00003542" w:rsidP="00003542">
      <w:pPr>
        <w:ind w:left="540" w:right="-1"/>
        <w:jc w:val="both"/>
        <w:rPr>
          <w:rFonts w:ascii="Tahoma" w:hAnsi="Tahoma" w:cs="Tahoma"/>
          <w:sz w:val="22"/>
          <w:szCs w:val="22"/>
        </w:rPr>
      </w:pPr>
    </w:p>
    <w:p w:rsidR="00003542" w:rsidRDefault="00003542" w:rsidP="00003542">
      <w:pPr>
        <w:numPr>
          <w:ilvl w:val="0"/>
          <w:numId w:val="13"/>
        </w:numPr>
        <w:tabs>
          <w:tab w:val="clear" w:pos="454"/>
          <w:tab w:val="num" w:pos="567"/>
        </w:tabs>
        <w:ind w:left="540" w:right="-1" w:hanging="540"/>
        <w:jc w:val="both"/>
        <w:rPr>
          <w:rFonts w:ascii="Tahoma" w:hAnsi="Tahoma" w:cs="Tahoma"/>
          <w:sz w:val="22"/>
          <w:szCs w:val="22"/>
        </w:rPr>
      </w:pPr>
      <w:r>
        <w:rPr>
          <w:rFonts w:ascii="Tahoma" w:hAnsi="Tahoma" w:cs="Tahoma"/>
          <w:sz w:val="22"/>
          <w:szCs w:val="22"/>
        </w:rPr>
        <w:t>Con decreto de fecha 23 de diciembre de 2010, se tuvo por apersonado al Postor, por presentados sus descargos, por señalado su domicilio procesal y se remitió el expediente a la Primera Sala del Tribunal para que resuelva.</w:t>
      </w:r>
    </w:p>
    <w:p w:rsidR="00003542" w:rsidRDefault="00003542" w:rsidP="00003542">
      <w:pPr>
        <w:ind w:left="540" w:right="-1"/>
        <w:jc w:val="both"/>
        <w:rPr>
          <w:rFonts w:ascii="Tahoma" w:hAnsi="Tahoma" w:cs="Tahoma"/>
          <w:sz w:val="22"/>
          <w:szCs w:val="22"/>
        </w:rPr>
      </w:pPr>
    </w:p>
    <w:p w:rsidR="00003542" w:rsidRDefault="00003542" w:rsidP="00003542">
      <w:pPr>
        <w:numPr>
          <w:ilvl w:val="0"/>
          <w:numId w:val="13"/>
        </w:numPr>
        <w:tabs>
          <w:tab w:val="clear" w:pos="454"/>
          <w:tab w:val="num" w:pos="567"/>
        </w:tabs>
        <w:ind w:left="540" w:right="-1" w:hanging="540"/>
        <w:jc w:val="both"/>
        <w:rPr>
          <w:rFonts w:ascii="Tahoma" w:hAnsi="Tahoma" w:cs="Tahoma"/>
          <w:sz w:val="22"/>
          <w:szCs w:val="22"/>
        </w:rPr>
      </w:pPr>
      <w:r>
        <w:rPr>
          <w:rFonts w:ascii="Tahoma" w:hAnsi="Tahoma" w:cs="Tahoma"/>
          <w:sz w:val="22"/>
          <w:szCs w:val="22"/>
        </w:rPr>
        <w:t>Mediante decreto de fecha 09 de febrero del 2011, se solicitó información adicional a la Entidad, bajo el siguiente detalle:</w:t>
      </w:r>
    </w:p>
    <w:p w:rsidR="00003542" w:rsidRDefault="00003542" w:rsidP="00003542">
      <w:pPr>
        <w:ind w:right="-1"/>
        <w:jc w:val="both"/>
        <w:rPr>
          <w:rFonts w:ascii="Tahoma" w:hAnsi="Tahoma" w:cs="Tahoma"/>
          <w:sz w:val="22"/>
          <w:szCs w:val="22"/>
        </w:rPr>
      </w:pPr>
    </w:p>
    <w:p w:rsidR="00003542" w:rsidRPr="00356B97" w:rsidRDefault="00003542" w:rsidP="00003542">
      <w:pPr>
        <w:pStyle w:val="Prrafodelista"/>
        <w:widowControl/>
        <w:numPr>
          <w:ilvl w:val="0"/>
          <w:numId w:val="16"/>
        </w:numPr>
        <w:suppressAutoHyphens w:val="0"/>
        <w:ind w:left="1276" w:right="282" w:hanging="426"/>
        <w:contextualSpacing/>
        <w:jc w:val="both"/>
        <w:rPr>
          <w:rFonts w:ascii="Tahoma" w:hAnsi="Tahoma" w:cs="Tahoma"/>
          <w:bCs/>
          <w:i/>
          <w:color w:val="000000"/>
          <w:sz w:val="16"/>
          <w:szCs w:val="16"/>
        </w:rPr>
      </w:pPr>
      <w:r w:rsidRPr="00356B97">
        <w:rPr>
          <w:rFonts w:ascii="Tahoma" w:hAnsi="Tahoma" w:cs="Tahoma"/>
          <w:bCs/>
          <w:i/>
          <w:color w:val="000000"/>
          <w:sz w:val="16"/>
          <w:szCs w:val="16"/>
        </w:rPr>
        <w:t>Sírvase remitir el Estudio de Posibilidades que ofrece el mercado, o el equivalente a dicho documento, mediante el cual se determinó el monto estimado referencial del proceso de selección por Competencia Menor Nº CME-0349-2009-OTL/PETROPERU.</w:t>
      </w:r>
    </w:p>
    <w:p w:rsidR="00003542" w:rsidRPr="00356B97" w:rsidRDefault="00003542" w:rsidP="00003542">
      <w:pPr>
        <w:ind w:left="1276" w:right="282" w:hanging="426"/>
        <w:contextualSpacing/>
        <w:jc w:val="both"/>
        <w:rPr>
          <w:rFonts w:ascii="Tahoma" w:hAnsi="Tahoma" w:cs="Tahoma"/>
          <w:bCs/>
          <w:i/>
          <w:color w:val="000000"/>
          <w:sz w:val="16"/>
          <w:szCs w:val="16"/>
        </w:rPr>
      </w:pPr>
    </w:p>
    <w:p w:rsidR="00003542" w:rsidRPr="00356B97" w:rsidRDefault="00003542" w:rsidP="00003542">
      <w:pPr>
        <w:pStyle w:val="Prrafodelista"/>
        <w:widowControl/>
        <w:numPr>
          <w:ilvl w:val="0"/>
          <w:numId w:val="16"/>
        </w:numPr>
        <w:suppressAutoHyphens w:val="0"/>
        <w:ind w:left="1276" w:right="282" w:hanging="426"/>
        <w:contextualSpacing/>
        <w:jc w:val="both"/>
        <w:rPr>
          <w:rFonts w:ascii="Tahoma" w:hAnsi="Tahoma" w:cs="Tahoma"/>
          <w:bCs/>
          <w:i/>
          <w:color w:val="000000"/>
          <w:sz w:val="16"/>
          <w:szCs w:val="16"/>
        </w:rPr>
      </w:pPr>
      <w:r w:rsidRPr="00356B97">
        <w:rPr>
          <w:rFonts w:ascii="Tahoma" w:hAnsi="Tahoma" w:cs="Tahoma"/>
          <w:bCs/>
          <w:i/>
          <w:color w:val="000000"/>
          <w:sz w:val="16"/>
          <w:szCs w:val="16"/>
        </w:rPr>
        <w:t>Adjunto se le remite la Carta Nº 060-2010-TIT de fecha 28 de enero de 2010, mediante la cual la empresa Terramar Inspection &amp; Trading S.A.C. solicitó (05) días hábiles para poder presentar los documentos previos a la Orden de Trabajo de Terceros (OTT) por el servicio de “Consultoria Elaboración del Estudio de Riesgos para Planta de Ventas Piura”. Teniendo en consideración ello, cumpla con señalar si se contestó dicha solicitud o, de ser el caso, señale las razones por las cuales no se pronuncio respecto a lo solicitado por la acotada empresa.</w:t>
      </w:r>
    </w:p>
    <w:p w:rsidR="00003542" w:rsidRDefault="00003542" w:rsidP="00003542">
      <w:pPr>
        <w:ind w:left="540" w:right="-1"/>
        <w:jc w:val="both"/>
        <w:rPr>
          <w:rFonts w:ascii="Tahoma" w:hAnsi="Tahoma" w:cs="Tahoma"/>
          <w:sz w:val="22"/>
          <w:szCs w:val="22"/>
        </w:rPr>
      </w:pPr>
    </w:p>
    <w:p w:rsidR="00003542" w:rsidRDefault="00003542" w:rsidP="00003542">
      <w:pPr>
        <w:numPr>
          <w:ilvl w:val="0"/>
          <w:numId w:val="13"/>
        </w:numPr>
        <w:tabs>
          <w:tab w:val="clear" w:pos="454"/>
          <w:tab w:val="num" w:pos="567"/>
        </w:tabs>
        <w:ind w:left="540" w:right="-1" w:hanging="540"/>
        <w:jc w:val="both"/>
        <w:rPr>
          <w:rFonts w:ascii="Tahoma" w:hAnsi="Tahoma" w:cs="Tahoma"/>
          <w:sz w:val="22"/>
          <w:szCs w:val="22"/>
        </w:rPr>
      </w:pPr>
      <w:r>
        <w:rPr>
          <w:rFonts w:ascii="Tahoma" w:hAnsi="Tahoma" w:cs="Tahoma"/>
          <w:sz w:val="22"/>
          <w:szCs w:val="22"/>
        </w:rPr>
        <w:t>A través del escrito presentado el 22 de febrero de 2011, la Entidad cumplió con remitir la documentación solicitada.</w:t>
      </w:r>
    </w:p>
    <w:p w:rsidR="00003542" w:rsidRDefault="00003542" w:rsidP="00003542">
      <w:pPr>
        <w:ind w:left="540" w:right="-1"/>
        <w:jc w:val="both"/>
        <w:rPr>
          <w:rFonts w:ascii="Tahoma" w:hAnsi="Tahoma" w:cs="Tahoma"/>
          <w:sz w:val="22"/>
          <w:szCs w:val="22"/>
        </w:rPr>
      </w:pPr>
    </w:p>
    <w:p w:rsidR="00003542" w:rsidRDefault="00003542" w:rsidP="00003542">
      <w:pPr>
        <w:numPr>
          <w:ilvl w:val="0"/>
          <w:numId w:val="13"/>
        </w:numPr>
        <w:tabs>
          <w:tab w:val="clear" w:pos="454"/>
          <w:tab w:val="num" w:pos="567"/>
        </w:tabs>
        <w:ind w:left="540" w:right="-1" w:hanging="540"/>
        <w:jc w:val="both"/>
        <w:rPr>
          <w:rFonts w:ascii="Tahoma" w:hAnsi="Tahoma" w:cs="Tahoma"/>
          <w:sz w:val="22"/>
          <w:szCs w:val="22"/>
        </w:rPr>
      </w:pPr>
      <w:r>
        <w:rPr>
          <w:rFonts w:ascii="Tahoma" w:hAnsi="Tahoma" w:cs="Tahoma"/>
          <w:sz w:val="22"/>
          <w:szCs w:val="22"/>
        </w:rPr>
        <w:t>Con decreto de fecha 04 de marzo de 2011, se convocó Audiencia Pública para el 10 de marzo del 2011.</w:t>
      </w:r>
    </w:p>
    <w:p w:rsidR="00003542" w:rsidRDefault="00003542" w:rsidP="00003542">
      <w:pPr>
        <w:pStyle w:val="Prrafodelista"/>
        <w:rPr>
          <w:rFonts w:ascii="Tahoma" w:hAnsi="Tahoma" w:cs="Tahoma"/>
          <w:sz w:val="22"/>
          <w:szCs w:val="22"/>
        </w:rPr>
      </w:pPr>
    </w:p>
    <w:p w:rsidR="00003542" w:rsidRDefault="00003542" w:rsidP="00003542">
      <w:pPr>
        <w:numPr>
          <w:ilvl w:val="0"/>
          <w:numId w:val="13"/>
        </w:numPr>
        <w:tabs>
          <w:tab w:val="clear" w:pos="454"/>
          <w:tab w:val="num" w:pos="567"/>
        </w:tabs>
        <w:ind w:left="540" w:right="-1" w:hanging="540"/>
        <w:jc w:val="both"/>
        <w:rPr>
          <w:rFonts w:ascii="Tahoma" w:hAnsi="Tahoma" w:cs="Tahoma"/>
          <w:sz w:val="22"/>
          <w:szCs w:val="22"/>
        </w:rPr>
      </w:pPr>
      <w:r>
        <w:rPr>
          <w:rFonts w:ascii="Tahoma" w:hAnsi="Tahoma" w:cs="Tahoma"/>
          <w:sz w:val="22"/>
          <w:szCs w:val="22"/>
        </w:rPr>
        <w:t>El 10 de marzo del 2011, se realizó la Audiencia Pública con la participación del Postor.</w:t>
      </w:r>
    </w:p>
    <w:p w:rsidR="00003542" w:rsidRDefault="00003542" w:rsidP="00003542">
      <w:pPr>
        <w:pStyle w:val="Prrafodelista"/>
        <w:rPr>
          <w:rFonts w:ascii="Tahoma" w:hAnsi="Tahoma" w:cs="Tahoma"/>
          <w:sz w:val="22"/>
          <w:szCs w:val="22"/>
        </w:rPr>
      </w:pPr>
    </w:p>
    <w:p w:rsidR="00003542" w:rsidRDefault="00003542" w:rsidP="00003542">
      <w:pPr>
        <w:numPr>
          <w:ilvl w:val="0"/>
          <w:numId w:val="13"/>
        </w:numPr>
        <w:tabs>
          <w:tab w:val="clear" w:pos="454"/>
          <w:tab w:val="num" w:pos="567"/>
        </w:tabs>
        <w:ind w:left="540" w:right="-1" w:hanging="540"/>
        <w:jc w:val="both"/>
        <w:rPr>
          <w:rFonts w:ascii="Tahoma" w:hAnsi="Tahoma" w:cs="Tahoma"/>
          <w:sz w:val="22"/>
          <w:szCs w:val="22"/>
        </w:rPr>
      </w:pPr>
      <w:r>
        <w:rPr>
          <w:rFonts w:ascii="Tahoma" w:hAnsi="Tahoma" w:cs="Tahoma"/>
          <w:sz w:val="22"/>
          <w:szCs w:val="22"/>
        </w:rPr>
        <w:t xml:space="preserve">Mediante escrito de fecha 15 marzo del 2011, el Postor adjuntó el presupuesto de costos del servicio de “Estudio de Riesgos para Planta de Ventas Piura” objeto del </w:t>
      </w:r>
      <w:r>
        <w:rPr>
          <w:rFonts w:ascii="Tahoma" w:hAnsi="Tahoma" w:cs="Tahoma"/>
          <w:sz w:val="22"/>
          <w:szCs w:val="22"/>
        </w:rPr>
        <w:lastRenderedPageBreak/>
        <w:t>proceso de selección CME-0349-2009-OTL/PETROPERU, el presupuesto de costos y propuesta económica del servicio “Actualización del Estudio de Riesgos de las Plantas de Ventas Iquitos y Aeropuerto Iquitos” objeto del proceso de selección CME-0135-2008-OPS/PETROPERU, el presupuesto de costos y propuesta económica del servicio “Estudio de Riesgos de la Planta Ventas Pucallpa” objeto del proceso de selección CME-0004-2009-OPS/PETROPERU.</w:t>
      </w:r>
    </w:p>
    <w:p w:rsidR="00003542" w:rsidRDefault="00003542" w:rsidP="00003542">
      <w:pPr>
        <w:pStyle w:val="Prrafodelista"/>
        <w:rPr>
          <w:rFonts w:ascii="Tahoma" w:hAnsi="Tahoma" w:cs="Tahoma"/>
          <w:sz w:val="22"/>
          <w:szCs w:val="22"/>
        </w:rPr>
      </w:pPr>
    </w:p>
    <w:p w:rsidR="00003542" w:rsidRDefault="00003542" w:rsidP="00003542">
      <w:pPr>
        <w:ind w:left="540" w:right="-1"/>
        <w:jc w:val="both"/>
        <w:rPr>
          <w:rFonts w:ascii="Tahoma" w:hAnsi="Tahoma" w:cs="Tahoma"/>
          <w:sz w:val="22"/>
          <w:szCs w:val="22"/>
        </w:rPr>
      </w:pPr>
      <w:r>
        <w:rPr>
          <w:rFonts w:ascii="Tahoma" w:hAnsi="Tahoma" w:cs="Tahoma"/>
          <w:sz w:val="22"/>
          <w:szCs w:val="22"/>
        </w:rPr>
        <w:t>Asimismo, señaló que se adjuntó el Cuadro Nº 4 “Comparación de Requerimientos Técnicos de los servicios Estudio de Riesgos para Planta de Ventas Piura – Actualización del Estudio de Riesgos de las Plantas de Ventas Iquitos y Aeropuerto Iquitos – Estudio de Riesgos de la Planta Ventas Pucallpa”, en el cual se puede advertir que la diferencia en cuanto al alcance de los requerimientos del Estudio de Riesgos para Planta de Ventas Piura, es mayor y, significativamente superior en costo.</w:t>
      </w:r>
    </w:p>
    <w:p w:rsidR="00003542" w:rsidRDefault="00003542" w:rsidP="00003542">
      <w:pPr>
        <w:ind w:left="540" w:right="-1"/>
        <w:jc w:val="both"/>
        <w:rPr>
          <w:rFonts w:ascii="Tahoma" w:hAnsi="Tahoma" w:cs="Tahoma"/>
          <w:sz w:val="22"/>
          <w:szCs w:val="22"/>
        </w:rPr>
      </w:pPr>
    </w:p>
    <w:p w:rsidR="00003542" w:rsidRDefault="00003542" w:rsidP="00003542">
      <w:pPr>
        <w:ind w:left="540" w:right="-1"/>
        <w:jc w:val="both"/>
        <w:rPr>
          <w:rFonts w:ascii="Tahoma" w:hAnsi="Tahoma" w:cs="Tahoma"/>
          <w:sz w:val="22"/>
          <w:szCs w:val="22"/>
        </w:rPr>
      </w:pPr>
      <w:r>
        <w:rPr>
          <w:rFonts w:ascii="Tahoma" w:hAnsi="Tahoma" w:cs="Tahoma"/>
          <w:sz w:val="22"/>
          <w:szCs w:val="22"/>
        </w:rPr>
        <w:t>Finalmente, reiteraron que el Presupuesto de Estudio de Riesgos, desarrollado por un ingeniero de su departamento técnico que se encontraba de viaje, tuvo un error al no incluir la moneda en la que fue trabajado, por lo tanto, al adecuar su propuesta al formato solicitado por PETROPERÚ, hecho que fue realizado por un asistente en Lima, se asumió que el mismo estaba inicialmente en nuevos soles y se hizo la conversión a dólares (división entre S/. 2.8), por lo cual, el valor real que debió haber ofertado es de US$ 31,853.92 (Dólares Americanos), valor que se encuentra exactamente dentro del rango de las propuestas de los otros postores que participaron en el proceso de selección.</w:t>
      </w:r>
    </w:p>
    <w:p w:rsidR="00003542" w:rsidRPr="00864326" w:rsidRDefault="00003542" w:rsidP="00003542">
      <w:pPr>
        <w:contextualSpacing/>
        <w:jc w:val="both"/>
        <w:rPr>
          <w:rFonts w:ascii="Tahoma" w:hAnsi="Tahoma" w:cs="Tahoma"/>
          <w:sz w:val="22"/>
          <w:szCs w:val="22"/>
        </w:rPr>
      </w:pPr>
    </w:p>
    <w:p w:rsidR="00003542" w:rsidRPr="00864326" w:rsidRDefault="00003542" w:rsidP="00003542">
      <w:pPr>
        <w:pStyle w:val="Prrafodelista"/>
        <w:numPr>
          <w:ilvl w:val="0"/>
          <w:numId w:val="1"/>
        </w:numPr>
        <w:ind w:left="567" w:hanging="283"/>
        <w:rPr>
          <w:rFonts w:ascii="Tahoma" w:hAnsi="Tahoma" w:cs="Tahoma"/>
          <w:b/>
          <w:sz w:val="22"/>
          <w:szCs w:val="22"/>
        </w:rPr>
      </w:pPr>
      <w:r w:rsidRPr="00864326">
        <w:rPr>
          <w:rFonts w:ascii="Tahoma" w:hAnsi="Tahoma" w:cs="Tahoma"/>
          <w:b/>
          <w:sz w:val="22"/>
          <w:szCs w:val="22"/>
        </w:rPr>
        <w:t>FUNDAMENTACIÓN</w:t>
      </w:r>
    </w:p>
    <w:p w:rsidR="00003542" w:rsidRPr="00864326" w:rsidRDefault="00003542" w:rsidP="00003542">
      <w:pPr>
        <w:ind w:left="426"/>
        <w:jc w:val="both"/>
        <w:rPr>
          <w:rFonts w:ascii="Tahoma" w:hAnsi="Tahoma" w:cs="Tahoma"/>
          <w:sz w:val="22"/>
          <w:szCs w:val="22"/>
          <w:lang w:eastAsia="es-PE"/>
        </w:rPr>
      </w:pPr>
    </w:p>
    <w:p w:rsidR="00003542" w:rsidRDefault="00003542" w:rsidP="00003542">
      <w:pPr>
        <w:pStyle w:val="Textoindependiente"/>
        <w:ind w:left="567"/>
        <w:jc w:val="both"/>
        <w:rPr>
          <w:rFonts w:ascii="Tahoma" w:hAnsi="Tahoma" w:cs="Tahoma"/>
          <w:b/>
          <w:sz w:val="22"/>
          <w:szCs w:val="22"/>
          <w:lang w:val="es-MX"/>
        </w:rPr>
      </w:pPr>
      <w:r>
        <w:rPr>
          <w:rFonts w:ascii="Tahoma" w:hAnsi="Tahoma" w:cs="Tahoma"/>
          <w:b/>
          <w:sz w:val="22"/>
          <w:szCs w:val="22"/>
          <w:lang w:val="es-MX"/>
        </w:rPr>
        <w:t>Cuestión Previa</w:t>
      </w:r>
    </w:p>
    <w:p w:rsidR="00003542" w:rsidRPr="00C77CF4" w:rsidRDefault="00003542" w:rsidP="00003542">
      <w:pPr>
        <w:numPr>
          <w:ilvl w:val="0"/>
          <w:numId w:val="17"/>
        </w:numPr>
        <w:tabs>
          <w:tab w:val="clear" w:pos="360"/>
        </w:tabs>
        <w:ind w:left="567" w:hanging="567"/>
        <w:jc w:val="both"/>
        <w:rPr>
          <w:rFonts w:ascii="Tahoma" w:hAnsi="Tahoma" w:cs="Tahoma"/>
          <w:b/>
          <w:sz w:val="22"/>
          <w:szCs w:val="22"/>
        </w:rPr>
      </w:pPr>
      <w:r w:rsidRPr="00C77CF4">
        <w:rPr>
          <w:rFonts w:ascii="Tahoma" w:hAnsi="Tahoma" w:cs="Tahoma"/>
          <w:sz w:val="22"/>
          <w:szCs w:val="22"/>
          <w:lang w:val="es-PE"/>
        </w:rPr>
        <w:t>Habiéndose advertido que el presente proceso deriva de un proceso de selección por Competencia M</w:t>
      </w:r>
      <w:r>
        <w:rPr>
          <w:rFonts w:ascii="Tahoma" w:hAnsi="Tahoma" w:cs="Tahoma"/>
          <w:sz w:val="22"/>
          <w:szCs w:val="22"/>
          <w:lang w:val="es-PE"/>
        </w:rPr>
        <w:t>enor</w:t>
      </w:r>
      <w:r w:rsidRPr="00C77CF4">
        <w:rPr>
          <w:rFonts w:ascii="Tahoma" w:hAnsi="Tahoma" w:cs="Tahoma"/>
          <w:sz w:val="22"/>
          <w:szCs w:val="22"/>
          <w:lang w:val="es-PE"/>
        </w:rPr>
        <w:t>, resulta pertinente evaluar el marco normativo que rige el citado proceso, a fin de determinar l</w:t>
      </w:r>
      <w:r>
        <w:rPr>
          <w:rFonts w:ascii="Tahoma" w:hAnsi="Tahoma" w:cs="Tahoma"/>
          <w:sz w:val="22"/>
          <w:szCs w:val="22"/>
          <w:lang w:val="es-PE"/>
        </w:rPr>
        <w:t xml:space="preserve">a competencia de este Tribunal </w:t>
      </w:r>
      <w:r w:rsidRPr="00C77CF4">
        <w:rPr>
          <w:rFonts w:ascii="Tahoma" w:hAnsi="Tahoma" w:cs="Tahoma"/>
          <w:sz w:val="22"/>
          <w:szCs w:val="22"/>
          <w:lang w:val="es-PE"/>
        </w:rPr>
        <w:t>para conocer la denuncia presentada por la Entidad.</w:t>
      </w:r>
    </w:p>
    <w:p w:rsidR="00003542" w:rsidRPr="00C77CF4" w:rsidRDefault="00003542" w:rsidP="00003542">
      <w:pPr>
        <w:ind w:left="567"/>
        <w:jc w:val="both"/>
        <w:rPr>
          <w:rFonts w:ascii="Tahoma" w:hAnsi="Tahoma" w:cs="Tahoma"/>
          <w:b/>
          <w:sz w:val="22"/>
          <w:szCs w:val="22"/>
        </w:rPr>
      </w:pPr>
    </w:p>
    <w:p w:rsidR="00003542" w:rsidRPr="00C77CF4" w:rsidRDefault="00003542" w:rsidP="00003542">
      <w:pPr>
        <w:numPr>
          <w:ilvl w:val="0"/>
          <w:numId w:val="17"/>
        </w:numPr>
        <w:tabs>
          <w:tab w:val="clear" w:pos="360"/>
        </w:tabs>
        <w:ind w:left="567" w:hanging="567"/>
        <w:jc w:val="both"/>
        <w:rPr>
          <w:rFonts w:ascii="Tahoma" w:hAnsi="Tahoma" w:cs="Tahoma"/>
          <w:b/>
          <w:sz w:val="22"/>
          <w:szCs w:val="22"/>
        </w:rPr>
      </w:pPr>
      <w:r w:rsidRPr="00C77CF4">
        <w:rPr>
          <w:rFonts w:ascii="Tahoma" w:hAnsi="Tahoma" w:cs="Tahoma"/>
          <w:sz w:val="22"/>
          <w:szCs w:val="22"/>
          <w:lang w:val="es-PE"/>
        </w:rPr>
        <w:t>Mediante Ley Nº 28840</w:t>
      </w:r>
      <w:r w:rsidRPr="00C77CF4">
        <w:rPr>
          <w:rFonts w:ascii="Tahoma" w:hAnsi="Tahoma" w:cs="Tahoma"/>
          <w:sz w:val="22"/>
          <w:szCs w:val="22"/>
          <w:vertAlign w:val="superscript"/>
          <w:lang w:val="es-PE"/>
        </w:rPr>
        <w:footnoteReference w:id="2"/>
      </w:r>
      <w:r w:rsidRPr="00C77CF4">
        <w:rPr>
          <w:rFonts w:ascii="Tahoma" w:hAnsi="Tahoma" w:cs="Tahoma"/>
          <w:sz w:val="22"/>
          <w:szCs w:val="22"/>
          <w:lang w:val="es-PE"/>
        </w:rPr>
        <w:t xml:space="preserve"> se declaró de interés nacional el fortalecimiento y modernización de Petróleos del Perú S.A.-PETROPERÚ, en lo sucesivo PETROPERÚ, estableciéndose que sus actividades deben desarrollarse en el marco de dicha Ley, su Ley Orgánica, el Decreto Legislativo Nº 43 y su modificatoria, la Ley Nº 26224, su Estatuto Social y supletoriamente por las disposiciones de la Ley General de Sociedades.</w:t>
      </w:r>
    </w:p>
    <w:p w:rsidR="00003542" w:rsidRPr="00C77CF4" w:rsidRDefault="00003542" w:rsidP="00003542">
      <w:pPr>
        <w:pStyle w:val="Prrafodelista"/>
        <w:rPr>
          <w:rFonts w:ascii="Tahoma" w:hAnsi="Tahoma" w:cs="Tahoma"/>
          <w:sz w:val="22"/>
          <w:szCs w:val="22"/>
        </w:rPr>
      </w:pPr>
    </w:p>
    <w:p w:rsidR="00003542" w:rsidRPr="00C77CF4" w:rsidRDefault="00003542" w:rsidP="00003542">
      <w:pPr>
        <w:numPr>
          <w:ilvl w:val="0"/>
          <w:numId w:val="17"/>
        </w:numPr>
        <w:tabs>
          <w:tab w:val="clear" w:pos="360"/>
        </w:tabs>
        <w:ind w:left="567" w:hanging="567"/>
        <w:jc w:val="both"/>
        <w:rPr>
          <w:rFonts w:ascii="Tahoma" w:hAnsi="Tahoma" w:cs="Tahoma"/>
          <w:b/>
          <w:sz w:val="22"/>
          <w:szCs w:val="22"/>
        </w:rPr>
      </w:pPr>
      <w:r w:rsidRPr="00C77CF4">
        <w:rPr>
          <w:rFonts w:ascii="Tahoma" w:hAnsi="Tahoma" w:cs="Tahoma"/>
          <w:sz w:val="22"/>
          <w:szCs w:val="22"/>
          <w:lang w:val="es-PE"/>
        </w:rPr>
        <w:t xml:space="preserve">La Segunda Disposición Complementaria de la Ley Nº 28840 refiere que las adquisiciones y contrataciones de PETROPERÚ se rigen por su Reglamento, </w:t>
      </w:r>
      <w:r w:rsidRPr="00C77CF4">
        <w:rPr>
          <w:rFonts w:ascii="Tahoma" w:hAnsi="Tahoma" w:cs="Tahoma"/>
          <w:sz w:val="22"/>
          <w:szCs w:val="22"/>
          <w:lang w:val="es-PE"/>
        </w:rPr>
        <w:lastRenderedPageBreak/>
        <w:t xml:space="preserve">propuesto por su Directorio y aprobado por el OSCE. Asimismo, establece que las modalidades de adquisiciones y contrataciones de PETROPERÚ serán definidas en su Reglamento y se regirán por los principios de eficiencia, economía, transparencia y auditabilidad, así como los demás principios contenidos en la legislación de la materia. </w:t>
      </w:r>
    </w:p>
    <w:p w:rsidR="00003542" w:rsidRPr="00C77CF4" w:rsidRDefault="00003542" w:rsidP="00003542">
      <w:pPr>
        <w:pStyle w:val="Prrafodelista"/>
        <w:rPr>
          <w:rFonts w:ascii="Tahoma" w:hAnsi="Tahoma" w:cs="Tahoma"/>
          <w:sz w:val="22"/>
          <w:szCs w:val="22"/>
          <w:lang w:val="es-PE"/>
        </w:rPr>
      </w:pPr>
    </w:p>
    <w:p w:rsidR="00003542" w:rsidRPr="00C77CF4" w:rsidRDefault="00003542" w:rsidP="00003542">
      <w:pPr>
        <w:numPr>
          <w:ilvl w:val="0"/>
          <w:numId w:val="17"/>
        </w:numPr>
        <w:tabs>
          <w:tab w:val="clear" w:pos="360"/>
        </w:tabs>
        <w:ind w:left="567" w:hanging="567"/>
        <w:jc w:val="both"/>
        <w:rPr>
          <w:rFonts w:ascii="Tahoma" w:hAnsi="Tahoma" w:cs="Tahoma"/>
          <w:b/>
          <w:sz w:val="22"/>
          <w:szCs w:val="22"/>
        </w:rPr>
      </w:pPr>
      <w:r w:rsidRPr="00C77CF4">
        <w:rPr>
          <w:rFonts w:ascii="Tahoma" w:hAnsi="Tahoma" w:cs="Tahoma"/>
          <w:sz w:val="22"/>
          <w:szCs w:val="22"/>
          <w:lang w:val="es-PE"/>
        </w:rPr>
        <w:t>En tal sentido, mediante Resolu</w:t>
      </w:r>
      <w:r>
        <w:rPr>
          <w:rFonts w:ascii="Tahoma" w:hAnsi="Tahoma" w:cs="Tahoma"/>
          <w:sz w:val="22"/>
          <w:szCs w:val="22"/>
          <w:lang w:val="es-PE"/>
        </w:rPr>
        <w:t>ción Nº 523-2009-OSCE</w:t>
      </w:r>
      <w:r w:rsidRPr="00C77CF4">
        <w:rPr>
          <w:rFonts w:ascii="Tahoma" w:hAnsi="Tahoma" w:cs="Tahoma"/>
          <w:sz w:val="22"/>
          <w:szCs w:val="22"/>
          <w:lang w:val="es-PE"/>
        </w:rPr>
        <w:t>/PRE</w:t>
      </w:r>
      <w:r w:rsidRPr="00C77CF4">
        <w:rPr>
          <w:rFonts w:ascii="Tahoma" w:hAnsi="Tahoma" w:cs="Tahoma"/>
          <w:sz w:val="22"/>
          <w:szCs w:val="22"/>
          <w:vertAlign w:val="superscript"/>
          <w:lang w:val="es-PE"/>
        </w:rPr>
        <w:footnoteReference w:id="3"/>
      </w:r>
      <w:r w:rsidRPr="00C77CF4">
        <w:rPr>
          <w:rFonts w:ascii="Tahoma" w:hAnsi="Tahoma" w:cs="Tahoma"/>
          <w:sz w:val="22"/>
          <w:szCs w:val="22"/>
          <w:lang w:val="es-PE"/>
        </w:rPr>
        <w:t xml:space="preserve"> se aprobó el Reglamento de Adquisiciones y Contrataciones de Petróleos del Perú S.A., en adelante el Reglamento de PETROPERÚ</w:t>
      </w:r>
      <w:r>
        <w:rPr>
          <w:rFonts w:ascii="Tahoma" w:hAnsi="Tahoma" w:cs="Tahoma"/>
          <w:sz w:val="22"/>
          <w:szCs w:val="22"/>
          <w:lang w:val="es-PE"/>
        </w:rPr>
        <w:t>,</w:t>
      </w:r>
      <w:r w:rsidRPr="00C77CF4">
        <w:rPr>
          <w:rFonts w:ascii="Tahoma" w:hAnsi="Tahoma" w:cs="Tahoma"/>
          <w:sz w:val="22"/>
          <w:szCs w:val="22"/>
          <w:lang w:val="es-PE"/>
        </w:rPr>
        <w:t xml:space="preserve"> el cual tiene como objetivo regular de manera integral y uniforme los procedimientos de adquisiciones de bienes y contrataciones de servicios y obras necesarios para el cumplimiento del objeto social de PETROPERÚ.</w:t>
      </w:r>
    </w:p>
    <w:p w:rsidR="00003542" w:rsidRPr="00C77CF4" w:rsidRDefault="00003542" w:rsidP="00003542">
      <w:pPr>
        <w:pStyle w:val="Prrafodelista"/>
        <w:rPr>
          <w:rFonts w:ascii="Tahoma" w:hAnsi="Tahoma" w:cs="Tahoma"/>
          <w:sz w:val="22"/>
          <w:szCs w:val="22"/>
        </w:rPr>
      </w:pPr>
    </w:p>
    <w:p w:rsidR="00003542" w:rsidRPr="00603BE6" w:rsidRDefault="00003542" w:rsidP="00003542">
      <w:pPr>
        <w:numPr>
          <w:ilvl w:val="0"/>
          <w:numId w:val="17"/>
        </w:numPr>
        <w:tabs>
          <w:tab w:val="clear" w:pos="360"/>
        </w:tabs>
        <w:ind w:left="567" w:hanging="567"/>
        <w:jc w:val="both"/>
        <w:rPr>
          <w:rFonts w:ascii="Tahoma" w:hAnsi="Tahoma" w:cs="Tahoma"/>
          <w:b/>
          <w:sz w:val="22"/>
          <w:szCs w:val="22"/>
        </w:rPr>
      </w:pPr>
      <w:r w:rsidRPr="00603BE6">
        <w:rPr>
          <w:rFonts w:ascii="Tahoma" w:hAnsi="Tahoma" w:cs="Tahoma"/>
          <w:sz w:val="22"/>
          <w:szCs w:val="22"/>
          <w:lang w:val="es-ES_tradnl"/>
        </w:rPr>
        <w:t xml:space="preserve">Asimismo, el numeral 5.12 del citado Reglamento de PETROPERÚ, dispone que con relación al Registro Nacional de Proveedores (RNP), Sistema Electrónico de Contrataciones del Estado (SEACE), recursos de impugnación y </w:t>
      </w:r>
      <w:r w:rsidRPr="00603BE6">
        <w:rPr>
          <w:rFonts w:ascii="Tahoma" w:hAnsi="Tahoma" w:cs="Tahoma"/>
          <w:b/>
          <w:sz w:val="22"/>
          <w:szCs w:val="22"/>
          <w:lang w:val="es-ES_tradnl"/>
        </w:rPr>
        <w:t xml:space="preserve">procedimientos administrativos sancionadores que se tramitan ante el Tribunal de Contrataciones del Estado, </w:t>
      </w:r>
      <w:r w:rsidRPr="00603BE6">
        <w:rPr>
          <w:rFonts w:ascii="Tahoma" w:hAnsi="Tahoma" w:cs="Tahoma"/>
          <w:sz w:val="22"/>
          <w:szCs w:val="22"/>
          <w:lang w:val="es-ES_tradnl"/>
        </w:rPr>
        <w:t>será de aplicación el Decreto Legislativo Nº 1017, Ley de Contrataciones del Estado y su Reglamento aprobado por Decreto Supremo Nº 184-2008-EF</w:t>
      </w:r>
      <w:r>
        <w:rPr>
          <w:rFonts w:ascii="Tahoma" w:hAnsi="Tahoma" w:cs="Tahoma"/>
          <w:sz w:val="22"/>
          <w:szCs w:val="22"/>
          <w:lang w:val="es-ES_tradnl"/>
        </w:rPr>
        <w:t>.</w:t>
      </w:r>
    </w:p>
    <w:p w:rsidR="00003542" w:rsidRDefault="00003542" w:rsidP="00003542">
      <w:pPr>
        <w:pStyle w:val="Prrafodelista"/>
        <w:rPr>
          <w:rFonts w:ascii="Tahoma" w:hAnsi="Tahoma" w:cs="Tahoma"/>
          <w:sz w:val="22"/>
          <w:szCs w:val="22"/>
        </w:rPr>
      </w:pPr>
    </w:p>
    <w:p w:rsidR="00003542" w:rsidRPr="000D7649" w:rsidRDefault="00003542" w:rsidP="00003542">
      <w:pPr>
        <w:numPr>
          <w:ilvl w:val="0"/>
          <w:numId w:val="17"/>
        </w:numPr>
        <w:tabs>
          <w:tab w:val="clear" w:pos="360"/>
        </w:tabs>
        <w:ind w:left="567" w:hanging="567"/>
        <w:jc w:val="both"/>
        <w:rPr>
          <w:rFonts w:ascii="Tahoma" w:hAnsi="Tahoma" w:cs="Tahoma"/>
          <w:b/>
          <w:sz w:val="22"/>
          <w:szCs w:val="22"/>
        </w:rPr>
      </w:pPr>
      <w:r w:rsidRPr="00603BE6">
        <w:rPr>
          <w:rFonts w:ascii="Tahoma" w:hAnsi="Tahoma" w:cs="Tahoma"/>
          <w:sz w:val="22"/>
          <w:szCs w:val="22"/>
          <w:lang w:val="es-ES_tradnl"/>
        </w:rPr>
        <w:t>Por estas consideraciones, este Colegiado resulta</w:t>
      </w:r>
      <w:r w:rsidRPr="00603BE6">
        <w:rPr>
          <w:rFonts w:ascii="Tahoma" w:hAnsi="Tahoma" w:cs="Tahoma"/>
          <w:b/>
          <w:sz w:val="22"/>
          <w:szCs w:val="22"/>
          <w:lang w:val="es-ES_tradnl"/>
        </w:rPr>
        <w:t xml:space="preserve"> </w:t>
      </w:r>
      <w:r w:rsidRPr="00603BE6">
        <w:rPr>
          <w:rFonts w:ascii="Tahoma" w:hAnsi="Tahoma" w:cs="Tahoma"/>
          <w:sz w:val="22"/>
          <w:szCs w:val="22"/>
          <w:lang w:val="es-PE"/>
        </w:rPr>
        <w:t>competente para pronunciarse sobre la supuesta responsabilidad de</w:t>
      </w:r>
      <w:r>
        <w:rPr>
          <w:rFonts w:ascii="Tahoma" w:hAnsi="Tahoma" w:cs="Tahoma"/>
          <w:sz w:val="22"/>
          <w:szCs w:val="22"/>
          <w:lang w:val="es-PE"/>
        </w:rPr>
        <w:t xml:space="preserve"> la Denunciada</w:t>
      </w:r>
      <w:r w:rsidRPr="00603BE6">
        <w:rPr>
          <w:rFonts w:ascii="Tahoma" w:hAnsi="Tahoma" w:cs="Tahoma"/>
          <w:sz w:val="22"/>
          <w:szCs w:val="22"/>
          <w:lang w:val="es-PE"/>
        </w:rPr>
        <w:t>,</w:t>
      </w:r>
      <w:r>
        <w:rPr>
          <w:rFonts w:ascii="Tahoma" w:hAnsi="Tahoma" w:cs="Tahoma"/>
          <w:sz w:val="22"/>
          <w:szCs w:val="22"/>
        </w:rPr>
        <w:t xml:space="preserve"> por la presentación de documentos falsos o inexactos, </w:t>
      </w:r>
      <w:r w:rsidRPr="00603BE6">
        <w:rPr>
          <w:rFonts w:ascii="Tahoma" w:hAnsi="Tahoma" w:cs="Tahoma"/>
          <w:sz w:val="22"/>
          <w:szCs w:val="22"/>
        </w:rPr>
        <w:t>infracción prevista en el</w:t>
      </w:r>
      <w:r>
        <w:rPr>
          <w:rFonts w:ascii="Tahoma" w:eastAsia="MS Mincho" w:hAnsi="Tahoma" w:cs="Tahoma"/>
          <w:sz w:val="22"/>
          <w:szCs w:val="22"/>
        </w:rPr>
        <w:t xml:space="preserve"> literal i</w:t>
      </w:r>
      <w:r w:rsidRPr="00603BE6">
        <w:rPr>
          <w:rFonts w:ascii="Tahoma" w:eastAsia="MS Mincho" w:hAnsi="Tahoma" w:cs="Tahoma"/>
          <w:sz w:val="22"/>
          <w:szCs w:val="22"/>
        </w:rPr>
        <w:t>) del numeral 51.1 del artículo 51 de la Ley de Contrataciones del Estado, aprobado mediante Decreto Legislativo Nº 1017, en</w:t>
      </w:r>
      <w:r>
        <w:rPr>
          <w:rFonts w:ascii="Tahoma" w:eastAsia="MS Mincho" w:hAnsi="Tahoma" w:cs="Tahoma"/>
          <w:sz w:val="22"/>
          <w:szCs w:val="22"/>
        </w:rPr>
        <w:t xml:space="preserve"> adelante la Ley, y el literal i</w:t>
      </w:r>
      <w:r w:rsidRPr="00603BE6">
        <w:rPr>
          <w:rFonts w:ascii="Tahoma" w:eastAsia="MS Mincho" w:hAnsi="Tahoma" w:cs="Tahoma"/>
          <w:sz w:val="22"/>
          <w:szCs w:val="22"/>
        </w:rPr>
        <w:t>) del numeral 1 del artículo 237 del Reglamento de la Ley de Contrataciones del Estado, aprobado mediante Decreto Supremo Nº 184-2008-EF, en adelante el Reglamento</w:t>
      </w:r>
      <w:r w:rsidRPr="00603BE6">
        <w:rPr>
          <w:rFonts w:ascii="Tahoma" w:hAnsi="Tahoma" w:cs="Tahoma"/>
          <w:sz w:val="22"/>
          <w:szCs w:val="22"/>
        </w:rPr>
        <w:t>, normas vigente</w:t>
      </w:r>
      <w:r>
        <w:rPr>
          <w:rFonts w:ascii="Tahoma" w:hAnsi="Tahoma" w:cs="Tahoma"/>
          <w:sz w:val="22"/>
          <w:szCs w:val="22"/>
        </w:rPr>
        <w:t>s</w:t>
      </w:r>
      <w:r w:rsidRPr="00603BE6">
        <w:rPr>
          <w:rFonts w:ascii="Tahoma" w:hAnsi="Tahoma" w:cs="Tahoma"/>
          <w:sz w:val="22"/>
          <w:szCs w:val="22"/>
        </w:rPr>
        <w:t xml:space="preserve"> al momento de producirse los hechos que motivaron la resolución de dicho contrato.</w:t>
      </w:r>
    </w:p>
    <w:p w:rsidR="00003542" w:rsidRDefault="00003542" w:rsidP="00003542">
      <w:pPr>
        <w:widowControl w:val="0"/>
        <w:suppressAutoHyphens/>
        <w:rPr>
          <w:rFonts w:ascii="Tahoma" w:eastAsia="MS Mincho" w:hAnsi="Tahoma" w:cs="Tahoma"/>
          <w:b/>
          <w:sz w:val="22"/>
          <w:szCs w:val="22"/>
          <w:lang w:val="es-ES_tradnl"/>
        </w:rPr>
      </w:pPr>
    </w:p>
    <w:p w:rsidR="00003542" w:rsidRDefault="00003542" w:rsidP="00003542">
      <w:pPr>
        <w:autoSpaceDE w:val="0"/>
        <w:autoSpaceDN w:val="0"/>
        <w:adjustRightInd w:val="0"/>
        <w:ind w:left="567"/>
        <w:jc w:val="both"/>
        <w:rPr>
          <w:rFonts w:ascii="Tahoma" w:eastAsiaTheme="minorHAnsi" w:hAnsi="Tahoma" w:cs="Tahoma"/>
          <w:b/>
          <w:bCs/>
          <w:i/>
          <w:iCs/>
          <w:color w:val="000000"/>
          <w:sz w:val="22"/>
          <w:szCs w:val="22"/>
          <w:lang w:eastAsia="en-US"/>
        </w:rPr>
      </w:pPr>
      <w:r>
        <w:rPr>
          <w:rFonts w:ascii="Tahoma" w:eastAsiaTheme="minorHAnsi" w:hAnsi="Tahoma" w:cs="Tahoma"/>
          <w:b/>
          <w:bCs/>
          <w:i/>
          <w:iCs/>
          <w:color w:val="000000"/>
          <w:sz w:val="22"/>
          <w:szCs w:val="22"/>
          <w:lang w:eastAsia="en-US"/>
        </w:rPr>
        <w:t>Sobre el procedimiento seguido por la Entidad para la suscripción del contrato</w:t>
      </w:r>
    </w:p>
    <w:p w:rsidR="00003542" w:rsidRDefault="00003542" w:rsidP="00003542">
      <w:pPr>
        <w:autoSpaceDE w:val="0"/>
        <w:autoSpaceDN w:val="0"/>
        <w:adjustRightInd w:val="0"/>
        <w:ind w:left="709"/>
        <w:jc w:val="both"/>
        <w:rPr>
          <w:rFonts w:ascii="Tahoma" w:eastAsiaTheme="minorHAnsi" w:hAnsi="Tahoma" w:cs="Tahoma"/>
          <w:b/>
          <w:bCs/>
          <w:i/>
          <w:iCs/>
          <w:color w:val="000000"/>
          <w:sz w:val="22"/>
          <w:szCs w:val="22"/>
          <w:lang w:eastAsia="en-US"/>
        </w:rPr>
      </w:pPr>
    </w:p>
    <w:p w:rsidR="00003542" w:rsidRPr="007A5A6B" w:rsidRDefault="00003542" w:rsidP="00003542">
      <w:pPr>
        <w:numPr>
          <w:ilvl w:val="0"/>
          <w:numId w:val="17"/>
        </w:numPr>
        <w:tabs>
          <w:tab w:val="clear" w:pos="360"/>
        </w:tabs>
        <w:ind w:left="567" w:hanging="567"/>
        <w:jc w:val="both"/>
        <w:rPr>
          <w:rFonts w:ascii="Tahoma" w:hAnsi="Tahoma" w:cs="Tahoma"/>
          <w:b/>
          <w:sz w:val="22"/>
          <w:szCs w:val="22"/>
        </w:rPr>
      </w:pPr>
      <w:r w:rsidRPr="000D7649">
        <w:rPr>
          <w:rFonts w:ascii="Tahoma" w:hAnsi="Tahoma" w:cs="Tahoma"/>
          <w:sz w:val="22"/>
          <w:szCs w:val="22"/>
        </w:rPr>
        <w:t xml:space="preserve">Ahora bien, en el presente caso, se ha denunciado al Postor por su supuesta responsabilidad </w:t>
      </w:r>
      <w:r>
        <w:rPr>
          <w:rFonts w:ascii="Tahoma" w:hAnsi="Tahoma" w:cs="Tahoma"/>
          <w:sz w:val="22"/>
          <w:szCs w:val="22"/>
          <w:lang w:eastAsia="es-PE"/>
        </w:rPr>
        <w:t>al</w:t>
      </w:r>
      <w:r w:rsidRPr="000D7649">
        <w:rPr>
          <w:rFonts w:ascii="Tahoma" w:hAnsi="Tahoma" w:cs="Tahoma"/>
          <w:sz w:val="22"/>
          <w:szCs w:val="22"/>
          <w:lang w:eastAsia="es-PE"/>
        </w:rPr>
        <w:t xml:space="preserve"> no haber suscrito </w:t>
      </w:r>
      <w:r>
        <w:rPr>
          <w:rFonts w:ascii="Tahoma" w:hAnsi="Tahoma" w:cs="Tahoma"/>
          <w:sz w:val="22"/>
          <w:szCs w:val="22"/>
          <w:lang w:eastAsia="es-PE"/>
        </w:rPr>
        <w:t xml:space="preserve">injustificadamente </w:t>
      </w:r>
      <w:r w:rsidRPr="00E425E5">
        <w:rPr>
          <w:rFonts w:ascii="Tahoma" w:eastAsiaTheme="minorHAnsi" w:hAnsi="Tahoma" w:cs="Tahoma"/>
          <w:iCs/>
          <w:color w:val="000000"/>
          <w:sz w:val="22"/>
          <w:szCs w:val="22"/>
          <w:lang w:eastAsia="en-US"/>
        </w:rPr>
        <w:t>la Orden de Trabajo a Terceros</w:t>
      </w:r>
      <w:r w:rsidRPr="000D7649">
        <w:rPr>
          <w:rFonts w:ascii="Tahoma" w:hAnsi="Tahoma" w:cs="Tahoma"/>
          <w:sz w:val="22"/>
          <w:szCs w:val="22"/>
          <w:lang w:eastAsia="es-PE"/>
        </w:rPr>
        <w:t xml:space="preserve"> derivado de</w:t>
      </w:r>
      <w:r>
        <w:rPr>
          <w:rFonts w:ascii="Tahoma" w:hAnsi="Tahoma" w:cs="Tahoma"/>
          <w:sz w:val="22"/>
          <w:szCs w:val="22"/>
          <w:lang w:eastAsia="es-PE"/>
        </w:rPr>
        <w:t>l</w:t>
      </w:r>
      <w:r w:rsidRPr="000D7649">
        <w:rPr>
          <w:rFonts w:ascii="Tahoma" w:hAnsi="Tahoma" w:cs="Tahoma"/>
          <w:sz w:val="22"/>
          <w:szCs w:val="22"/>
          <w:lang w:eastAsia="es-PE"/>
        </w:rPr>
        <w:t xml:space="preserve"> </w:t>
      </w:r>
      <w:r w:rsidRPr="00E425E5">
        <w:rPr>
          <w:rFonts w:ascii="Tahoma" w:eastAsiaTheme="minorHAnsi" w:hAnsi="Tahoma" w:cs="Tahoma"/>
          <w:iCs/>
          <w:color w:val="000000"/>
          <w:sz w:val="22"/>
          <w:szCs w:val="22"/>
          <w:lang w:eastAsia="en-US"/>
        </w:rPr>
        <w:t>Proceso por Competencia Menor Nº CME-0349-2009-OTL/PETROPERU</w:t>
      </w:r>
      <w:r w:rsidRPr="000D7649">
        <w:rPr>
          <w:rFonts w:ascii="Tahoma" w:hAnsi="Tahoma" w:cs="Tahoma"/>
          <w:sz w:val="22"/>
          <w:szCs w:val="22"/>
        </w:rPr>
        <w:t xml:space="preserve">, a pesar de haber sido ganador del otorgamiento de la buena pro, infracción tipificada en el literal a) del artículo 51 de la Ley de Contrataciones del Estado, aprobado mediante Decreto Legislativo Nº 1017, en adelante la Ley, en concordancia con el literal a) del numeral 1 del artículo 237 del Reglamento de la Ley de Contrataciones del Estado, en adelante el </w:t>
      </w:r>
      <w:r w:rsidRPr="000D7649">
        <w:rPr>
          <w:rFonts w:ascii="Tahoma" w:hAnsi="Tahoma" w:cs="Tahoma"/>
          <w:sz w:val="22"/>
          <w:szCs w:val="22"/>
        </w:rPr>
        <w:lastRenderedPageBreak/>
        <w:t>Reglamento, normas vigentes al momento de suscitarse los hechos materia de denuncia.</w:t>
      </w:r>
    </w:p>
    <w:p w:rsidR="00003542" w:rsidRPr="007A5A6B" w:rsidRDefault="00003542" w:rsidP="00003542">
      <w:pPr>
        <w:ind w:left="567"/>
        <w:jc w:val="both"/>
        <w:rPr>
          <w:rFonts w:ascii="Tahoma" w:hAnsi="Tahoma" w:cs="Tahoma"/>
          <w:b/>
          <w:sz w:val="22"/>
          <w:szCs w:val="22"/>
        </w:rPr>
      </w:pPr>
    </w:p>
    <w:p w:rsidR="00003542" w:rsidRPr="007A5A6B" w:rsidRDefault="00003542" w:rsidP="00003542">
      <w:pPr>
        <w:numPr>
          <w:ilvl w:val="0"/>
          <w:numId w:val="17"/>
        </w:numPr>
        <w:tabs>
          <w:tab w:val="clear" w:pos="360"/>
        </w:tabs>
        <w:ind w:left="567" w:hanging="567"/>
        <w:jc w:val="both"/>
        <w:rPr>
          <w:rFonts w:ascii="Tahoma" w:hAnsi="Tahoma" w:cs="Tahoma"/>
          <w:b/>
          <w:sz w:val="22"/>
          <w:szCs w:val="22"/>
        </w:rPr>
      </w:pPr>
      <w:r w:rsidRPr="007A5A6B">
        <w:rPr>
          <w:rFonts w:ascii="Tahoma" w:hAnsi="Tahoma" w:cs="Tahoma"/>
          <w:sz w:val="22"/>
          <w:szCs w:val="22"/>
          <w:lang w:val="es-MX"/>
        </w:rPr>
        <w:t>Conforme a los criterios utilizados por el Tribunal en anteriores oportunidades</w:t>
      </w:r>
      <w:r w:rsidRPr="00487832">
        <w:rPr>
          <w:rStyle w:val="Refdenotaalpie"/>
          <w:rFonts w:ascii="Tahoma" w:hAnsi="Tahoma" w:cs="Tahoma"/>
          <w:sz w:val="22"/>
          <w:szCs w:val="22"/>
          <w:lang w:val="es-MX"/>
        </w:rPr>
        <w:footnoteReference w:id="4"/>
      </w:r>
      <w:r w:rsidRPr="007A5A6B">
        <w:rPr>
          <w:rFonts w:ascii="Tahoma" w:hAnsi="Tahoma" w:cs="Tahoma"/>
          <w:sz w:val="22"/>
          <w:szCs w:val="22"/>
          <w:lang w:val="es-MX"/>
        </w:rPr>
        <w:t xml:space="preserve">, para que </w:t>
      </w:r>
      <w:r w:rsidRPr="007A5A6B">
        <w:rPr>
          <w:rFonts w:ascii="Tahoma" w:hAnsi="Tahoma" w:cs="Tahoma"/>
          <w:sz w:val="22"/>
          <w:szCs w:val="22"/>
        </w:rPr>
        <w:t>dicha infracción se configure debe acreditarse que la Entidad haya cumplido con el procedimiento y los plazos establecidos para la suscripción del contrato, regulados en el artículo 148 del Reglamento.</w:t>
      </w:r>
    </w:p>
    <w:p w:rsidR="00003542" w:rsidRDefault="00003542" w:rsidP="00003542">
      <w:pPr>
        <w:pStyle w:val="Prrafodelista"/>
        <w:rPr>
          <w:rFonts w:ascii="Tahoma" w:hAnsi="Tahoma" w:cs="Tahoma"/>
          <w:b/>
          <w:sz w:val="22"/>
          <w:szCs w:val="22"/>
        </w:rPr>
      </w:pPr>
    </w:p>
    <w:p w:rsidR="00003542" w:rsidRPr="0012176D" w:rsidRDefault="00003542" w:rsidP="00003542">
      <w:pPr>
        <w:numPr>
          <w:ilvl w:val="0"/>
          <w:numId w:val="17"/>
        </w:numPr>
        <w:tabs>
          <w:tab w:val="clear" w:pos="360"/>
        </w:tabs>
        <w:ind w:left="567" w:hanging="567"/>
        <w:jc w:val="both"/>
        <w:rPr>
          <w:rFonts w:ascii="Tahoma" w:hAnsi="Tahoma" w:cs="Tahoma"/>
          <w:b/>
          <w:sz w:val="22"/>
          <w:szCs w:val="22"/>
        </w:rPr>
      </w:pPr>
      <w:r w:rsidRPr="00C36154">
        <w:rPr>
          <w:rFonts w:ascii="Tahoma" w:hAnsi="Tahoma" w:cs="Tahoma"/>
          <w:sz w:val="22"/>
          <w:szCs w:val="22"/>
        </w:rPr>
        <w:t>Ahora bien, respecto a lo señalado anteriormente,</w:t>
      </w:r>
      <w:r>
        <w:rPr>
          <w:rFonts w:ascii="Tahoma" w:hAnsi="Tahoma" w:cs="Tahoma"/>
          <w:b/>
          <w:sz w:val="22"/>
          <w:szCs w:val="22"/>
        </w:rPr>
        <w:t xml:space="preserve"> </w:t>
      </w:r>
      <w:r w:rsidRPr="007A5A6B">
        <w:rPr>
          <w:rFonts w:ascii="Tahoma" w:eastAsiaTheme="minorHAnsi" w:hAnsi="Tahoma" w:cs="Tahoma"/>
          <w:color w:val="000000"/>
          <w:sz w:val="22"/>
          <w:szCs w:val="22"/>
          <w:lang w:eastAsia="en-US"/>
        </w:rPr>
        <w:t xml:space="preserve">el numeral 10.1 del Reglamento de PETROPERÚ, </w:t>
      </w:r>
      <w:r>
        <w:rPr>
          <w:rFonts w:ascii="Tahoma" w:eastAsiaTheme="minorHAnsi" w:hAnsi="Tahoma" w:cs="Tahoma"/>
          <w:color w:val="000000"/>
          <w:sz w:val="22"/>
          <w:szCs w:val="22"/>
          <w:lang w:eastAsia="en-US"/>
        </w:rPr>
        <w:t xml:space="preserve">establece que </w:t>
      </w:r>
      <w:r>
        <w:rPr>
          <w:rFonts w:ascii="Tahoma" w:eastAsiaTheme="minorHAnsi" w:hAnsi="Tahoma" w:cs="Tahoma"/>
          <w:b/>
          <w:bCs/>
          <w:color w:val="000000"/>
          <w:sz w:val="22"/>
          <w:szCs w:val="22"/>
          <w:lang w:eastAsia="en-US"/>
        </w:rPr>
        <w:t>el contrato entre la</w:t>
      </w:r>
      <w:r w:rsidRPr="007A5A6B">
        <w:rPr>
          <w:rFonts w:ascii="Tahoma" w:eastAsiaTheme="minorHAnsi" w:hAnsi="Tahoma" w:cs="Tahoma"/>
          <w:b/>
          <w:bCs/>
          <w:color w:val="000000"/>
          <w:sz w:val="22"/>
          <w:szCs w:val="22"/>
          <w:lang w:eastAsia="en-US"/>
        </w:rPr>
        <w:t xml:space="preserve"> Entidad y el ganador de la buena pro se formaliza con la suscripción del correspondiente documento contractual o con la recepción de la Orden de Compra u Orden de Trabajo a Terceros conforme a las formalidades y plazos estipulados en las Bases.</w:t>
      </w:r>
    </w:p>
    <w:p w:rsidR="00003542" w:rsidRDefault="00003542" w:rsidP="00003542">
      <w:pPr>
        <w:autoSpaceDE w:val="0"/>
        <w:autoSpaceDN w:val="0"/>
        <w:adjustRightInd w:val="0"/>
        <w:jc w:val="both"/>
        <w:rPr>
          <w:rFonts w:ascii="Tahoma" w:eastAsiaTheme="minorHAnsi" w:hAnsi="Tahoma" w:cs="Tahoma"/>
          <w:b/>
          <w:bCs/>
          <w:color w:val="000000"/>
          <w:sz w:val="22"/>
          <w:szCs w:val="22"/>
          <w:lang w:eastAsia="en-US"/>
        </w:rPr>
      </w:pPr>
    </w:p>
    <w:p w:rsidR="00003542" w:rsidRDefault="00003542" w:rsidP="00003542">
      <w:pPr>
        <w:autoSpaceDE w:val="0"/>
        <w:autoSpaceDN w:val="0"/>
        <w:adjustRightInd w:val="0"/>
        <w:ind w:left="567"/>
        <w:jc w:val="both"/>
        <w:rPr>
          <w:rFonts w:ascii="Tahoma" w:eastAsiaTheme="minorHAnsi" w:hAnsi="Tahoma" w:cs="Tahoma"/>
          <w:color w:val="000000"/>
          <w:sz w:val="22"/>
          <w:szCs w:val="22"/>
          <w:lang w:eastAsia="en-US"/>
        </w:rPr>
      </w:pPr>
      <w:r>
        <w:rPr>
          <w:rFonts w:ascii="Tahoma" w:eastAsiaTheme="minorHAnsi" w:hAnsi="Tahoma" w:cs="Tahoma"/>
          <w:b/>
          <w:bCs/>
          <w:color w:val="000000"/>
          <w:sz w:val="22"/>
          <w:szCs w:val="22"/>
          <w:lang w:eastAsia="en-US"/>
        </w:rPr>
        <w:t>Cuando el postor ganador no se presente a suscribir el contrato dentro del plazo otorgado o se niegue injustificadamente a recibir la Orden de Compra u Orden de Trabajo a Terceros, perderá automáticamente la buena pro, sin perjuicio de la sanción administrativa aplicable</w:t>
      </w:r>
      <w:r>
        <w:rPr>
          <w:rFonts w:ascii="Tahoma" w:eastAsiaTheme="minorHAnsi" w:hAnsi="Tahoma" w:cs="Tahoma"/>
          <w:color w:val="000000"/>
          <w:sz w:val="22"/>
          <w:szCs w:val="22"/>
          <w:lang w:eastAsia="en-US"/>
        </w:rPr>
        <w:t>.  En tal caso, PETROPERU citará al postor que ocupó el segundo lugar en el orden de prelación para que formalice el contrato, procediéndose de acuerdo con el mismo plazo y formalidades que con el primero.  Si este postor no suscribe el contrato, PETROPERU declarará desierto el proceso de selección, sin perjuicio de la sanción administrativa aplicable.</w:t>
      </w:r>
    </w:p>
    <w:p w:rsidR="00003542" w:rsidRDefault="00003542" w:rsidP="00003542">
      <w:pPr>
        <w:autoSpaceDE w:val="0"/>
        <w:autoSpaceDN w:val="0"/>
        <w:adjustRightInd w:val="0"/>
        <w:ind w:left="567" w:hanging="567"/>
        <w:jc w:val="both"/>
        <w:rPr>
          <w:rFonts w:ascii="Tahoma" w:eastAsiaTheme="minorHAnsi" w:hAnsi="Tahoma" w:cs="Tahoma"/>
          <w:color w:val="000000"/>
          <w:sz w:val="22"/>
          <w:szCs w:val="22"/>
          <w:lang w:eastAsia="en-US"/>
        </w:rPr>
      </w:pPr>
    </w:p>
    <w:p w:rsidR="00003542" w:rsidRDefault="00003542" w:rsidP="00003542">
      <w:pPr>
        <w:autoSpaceDE w:val="0"/>
        <w:autoSpaceDN w:val="0"/>
        <w:adjustRightInd w:val="0"/>
        <w:ind w:left="567"/>
        <w:jc w:val="both"/>
        <w:rPr>
          <w:rFonts w:ascii="Tahoma" w:eastAsiaTheme="minorHAnsi" w:hAnsi="Tahoma" w:cs="Tahoma"/>
          <w:color w:val="000000"/>
          <w:sz w:val="22"/>
          <w:szCs w:val="22"/>
          <w:lang w:eastAsia="en-US"/>
        </w:rPr>
      </w:pPr>
      <w:r>
        <w:rPr>
          <w:rFonts w:ascii="Tahoma" w:eastAsiaTheme="minorHAnsi" w:hAnsi="Tahoma" w:cs="Tahoma"/>
          <w:color w:val="000000"/>
          <w:sz w:val="22"/>
          <w:szCs w:val="22"/>
          <w:lang w:eastAsia="en-US"/>
        </w:rPr>
        <w:t>Para la formalización del contrato o documento respectivo, el postor ganador de la buena pro deberá contar con inscripción vigente en el Registro Nacional de Proveedores que administra el OSCE, no deberá encontrarse inhabilitado para contratar con el Estado, según lo establecido en el Registro Nacional de Proveedores a cargo del OSCE y/o en la Base de Datos de Proveedores Calificados de PETROPERU y deberá presentar la documentación que haya sido requerida en las Bases.</w:t>
      </w:r>
    </w:p>
    <w:p w:rsidR="00003542" w:rsidRDefault="00003542" w:rsidP="00003542">
      <w:pPr>
        <w:autoSpaceDE w:val="0"/>
        <w:autoSpaceDN w:val="0"/>
        <w:adjustRightInd w:val="0"/>
        <w:ind w:left="567" w:hanging="567"/>
        <w:jc w:val="both"/>
        <w:rPr>
          <w:rFonts w:ascii="Tahoma" w:eastAsiaTheme="minorHAnsi" w:hAnsi="Tahoma" w:cs="Tahoma"/>
          <w:color w:val="000000"/>
          <w:sz w:val="22"/>
          <w:szCs w:val="22"/>
          <w:lang w:eastAsia="en-US"/>
        </w:rPr>
      </w:pPr>
    </w:p>
    <w:p w:rsidR="00003542" w:rsidRDefault="00003542" w:rsidP="00003542">
      <w:pPr>
        <w:autoSpaceDE w:val="0"/>
        <w:autoSpaceDN w:val="0"/>
        <w:adjustRightInd w:val="0"/>
        <w:ind w:left="567"/>
        <w:jc w:val="both"/>
        <w:rPr>
          <w:rFonts w:ascii="Tahoma" w:eastAsiaTheme="minorHAnsi" w:hAnsi="Tahoma" w:cs="Tahoma"/>
          <w:color w:val="000000"/>
          <w:sz w:val="22"/>
          <w:szCs w:val="22"/>
          <w:lang w:eastAsia="en-US"/>
        </w:rPr>
      </w:pPr>
      <w:r>
        <w:rPr>
          <w:rFonts w:ascii="Tahoma" w:eastAsiaTheme="minorHAnsi" w:hAnsi="Tahoma" w:cs="Tahoma"/>
          <w:color w:val="000000"/>
          <w:sz w:val="22"/>
          <w:szCs w:val="22"/>
          <w:lang w:eastAsia="en-US"/>
        </w:rPr>
        <w:t>Cuando se requiera la presentación de Carta Fianza como garantía de Fiel Cumplimiento, ésta deberá ser presentada de manera previa a la formalización del contrato; de manera excepcional PETROPERU podrá autorizar que la Carta Fianza correspondiente sea presentada luego de formalizado el contrato o documento respectivo, en este supuesto el plazo otorgado, no podrá exceder a los diez (10) días hábiles de dicha formalización.</w:t>
      </w:r>
    </w:p>
    <w:p w:rsidR="00003542" w:rsidRDefault="00003542" w:rsidP="00003542">
      <w:pPr>
        <w:autoSpaceDE w:val="0"/>
        <w:autoSpaceDN w:val="0"/>
        <w:adjustRightInd w:val="0"/>
        <w:ind w:left="567" w:hanging="567"/>
        <w:jc w:val="both"/>
        <w:rPr>
          <w:rFonts w:ascii="Tahoma" w:eastAsiaTheme="minorHAnsi" w:hAnsi="Tahoma" w:cs="Tahoma"/>
          <w:color w:val="000000"/>
          <w:sz w:val="22"/>
          <w:szCs w:val="22"/>
          <w:lang w:eastAsia="en-US"/>
        </w:rPr>
      </w:pPr>
    </w:p>
    <w:p w:rsidR="00003542" w:rsidRDefault="00003542" w:rsidP="00003542">
      <w:pPr>
        <w:autoSpaceDE w:val="0"/>
        <w:autoSpaceDN w:val="0"/>
        <w:adjustRightInd w:val="0"/>
        <w:ind w:left="567"/>
        <w:jc w:val="both"/>
        <w:rPr>
          <w:rFonts w:ascii="Tahoma" w:eastAsiaTheme="minorHAnsi" w:hAnsi="Tahoma" w:cs="Tahoma"/>
          <w:color w:val="000000"/>
          <w:sz w:val="22"/>
          <w:szCs w:val="22"/>
          <w:lang w:eastAsia="en-US"/>
        </w:rPr>
      </w:pPr>
      <w:r>
        <w:rPr>
          <w:rFonts w:ascii="Tahoma" w:eastAsiaTheme="minorHAnsi" w:hAnsi="Tahoma" w:cs="Tahoma"/>
          <w:color w:val="000000"/>
          <w:sz w:val="22"/>
          <w:szCs w:val="22"/>
          <w:lang w:eastAsia="en-US"/>
        </w:rPr>
        <w:lastRenderedPageBreak/>
        <w:t>En caso de no presentarse la respectiva Carta Fianza dentro del plazo fijado el contrato no podrá formalizarse o será resuelto, según corresponda, registrando este incumplimiento en la Base de Datos de Proveedores Calificados de PETROPERU y se comunicará al Tribunal de Contrataciones del Estado para las acciones pertinentes.</w:t>
      </w:r>
    </w:p>
    <w:p w:rsidR="00003542" w:rsidRDefault="00003542" w:rsidP="00003542">
      <w:pPr>
        <w:autoSpaceDE w:val="0"/>
        <w:autoSpaceDN w:val="0"/>
        <w:adjustRightInd w:val="0"/>
        <w:ind w:left="567" w:hanging="567"/>
        <w:jc w:val="both"/>
        <w:rPr>
          <w:rFonts w:ascii="Tahoma" w:eastAsiaTheme="minorHAnsi" w:hAnsi="Tahoma" w:cs="Tahoma"/>
          <w:color w:val="000000"/>
          <w:sz w:val="22"/>
          <w:szCs w:val="22"/>
          <w:lang w:eastAsia="en-US"/>
        </w:rPr>
      </w:pPr>
    </w:p>
    <w:p w:rsidR="00003542" w:rsidRDefault="00003542" w:rsidP="00003542">
      <w:pPr>
        <w:autoSpaceDE w:val="0"/>
        <w:autoSpaceDN w:val="0"/>
        <w:adjustRightInd w:val="0"/>
        <w:ind w:left="567"/>
        <w:jc w:val="both"/>
        <w:rPr>
          <w:rFonts w:ascii="Tahoma" w:eastAsiaTheme="minorHAnsi" w:hAnsi="Tahoma" w:cs="Tahoma"/>
          <w:color w:val="000000"/>
          <w:sz w:val="22"/>
          <w:szCs w:val="22"/>
          <w:lang w:eastAsia="en-US"/>
        </w:rPr>
      </w:pPr>
      <w:r>
        <w:rPr>
          <w:rFonts w:ascii="Tahoma" w:eastAsiaTheme="minorHAnsi" w:hAnsi="Tahoma" w:cs="Tahoma"/>
          <w:color w:val="000000"/>
          <w:sz w:val="22"/>
          <w:szCs w:val="22"/>
          <w:lang w:eastAsia="en-US"/>
        </w:rPr>
        <w:t>En el caso de consorcios, en la promesa formal, se debe establecer la participación de cada integrante del mismo, si no lo establece se presume que la participación de cada integrante es en proporciones iguales, condición que se mantendrá al suscribirse el contrato de Consorcio, así como, la suscripción del contrato con PETROPERU.</w:t>
      </w:r>
    </w:p>
    <w:p w:rsidR="00003542" w:rsidRDefault="00003542" w:rsidP="00003542">
      <w:pPr>
        <w:autoSpaceDE w:val="0"/>
        <w:autoSpaceDN w:val="0"/>
        <w:adjustRightInd w:val="0"/>
        <w:ind w:left="567" w:hanging="567"/>
        <w:jc w:val="both"/>
        <w:rPr>
          <w:rFonts w:ascii="Tahoma" w:eastAsiaTheme="minorHAnsi" w:hAnsi="Tahoma" w:cs="Tahoma"/>
          <w:color w:val="000000"/>
          <w:sz w:val="22"/>
          <w:szCs w:val="22"/>
          <w:lang w:eastAsia="en-US"/>
        </w:rPr>
      </w:pPr>
    </w:p>
    <w:p w:rsidR="00003542" w:rsidRPr="0012176D" w:rsidRDefault="00003542" w:rsidP="00003542">
      <w:pPr>
        <w:numPr>
          <w:ilvl w:val="0"/>
          <w:numId w:val="17"/>
        </w:numPr>
        <w:tabs>
          <w:tab w:val="clear" w:pos="360"/>
        </w:tabs>
        <w:ind w:left="567" w:hanging="567"/>
        <w:jc w:val="both"/>
        <w:rPr>
          <w:rFonts w:ascii="Tahoma" w:hAnsi="Tahoma" w:cs="Tahoma"/>
          <w:b/>
          <w:sz w:val="22"/>
          <w:szCs w:val="22"/>
        </w:rPr>
      </w:pPr>
      <w:r w:rsidRPr="0012176D">
        <w:rPr>
          <w:rFonts w:ascii="Tahoma" w:eastAsiaTheme="minorHAnsi" w:hAnsi="Tahoma" w:cs="Tahoma"/>
          <w:color w:val="000000"/>
          <w:sz w:val="22"/>
          <w:szCs w:val="22"/>
          <w:lang w:eastAsia="en-US"/>
        </w:rPr>
        <w:t>En línea c</w:t>
      </w:r>
      <w:r>
        <w:rPr>
          <w:rFonts w:ascii="Tahoma" w:eastAsiaTheme="minorHAnsi" w:hAnsi="Tahoma" w:cs="Tahoma"/>
          <w:color w:val="000000"/>
          <w:sz w:val="22"/>
          <w:szCs w:val="22"/>
          <w:lang w:eastAsia="en-US"/>
        </w:rPr>
        <w:t>on lo anterior, en el numeral 13</w:t>
      </w:r>
      <w:r w:rsidRPr="0012176D">
        <w:rPr>
          <w:rFonts w:ascii="Tahoma" w:eastAsiaTheme="minorHAnsi" w:hAnsi="Tahoma" w:cs="Tahoma"/>
          <w:color w:val="000000"/>
          <w:sz w:val="22"/>
          <w:szCs w:val="22"/>
          <w:lang w:eastAsia="en-US"/>
        </w:rPr>
        <w:t xml:space="preserve"> de las Bases Administrativas, se determinó que para la emisión de la Orden de Trabajo a Terceros, el Contratista ganador de la buena pro deberá entregar: copia del DNI del representante legal y copia del RUC de la empresa.  </w:t>
      </w:r>
    </w:p>
    <w:p w:rsidR="00003542" w:rsidRDefault="00003542" w:rsidP="00003542">
      <w:pPr>
        <w:autoSpaceDE w:val="0"/>
        <w:autoSpaceDN w:val="0"/>
        <w:adjustRightInd w:val="0"/>
        <w:ind w:left="567" w:hanging="567"/>
        <w:jc w:val="both"/>
        <w:rPr>
          <w:rFonts w:ascii="Tahoma" w:eastAsiaTheme="minorHAnsi" w:hAnsi="Tahoma" w:cs="Tahoma"/>
          <w:color w:val="000000"/>
          <w:sz w:val="22"/>
          <w:szCs w:val="22"/>
          <w:lang w:eastAsia="en-US"/>
        </w:rPr>
      </w:pPr>
    </w:p>
    <w:p w:rsidR="00003542" w:rsidRDefault="00003542" w:rsidP="00003542">
      <w:pPr>
        <w:autoSpaceDE w:val="0"/>
        <w:autoSpaceDN w:val="0"/>
        <w:adjustRightInd w:val="0"/>
        <w:ind w:left="567"/>
        <w:jc w:val="both"/>
        <w:rPr>
          <w:rFonts w:ascii="Tahoma" w:eastAsiaTheme="minorHAnsi" w:hAnsi="Tahoma" w:cs="Tahoma"/>
          <w:color w:val="000000"/>
          <w:sz w:val="22"/>
          <w:szCs w:val="22"/>
          <w:lang w:eastAsia="en-US"/>
        </w:rPr>
      </w:pPr>
      <w:r>
        <w:rPr>
          <w:rFonts w:ascii="Tahoma" w:eastAsiaTheme="minorHAnsi" w:hAnsi="Tahoma" w:cs="Tahoma"/>
          <w:b/>
          <w:bCs/>
          <w:color w:val="000000"/>
          <w:sz w:val="22"/>
          <w:szCs w:val="22"/>
          <w:lang w:eastAsia="en-US"/>
        </w:rPr>
        <w:t>Dentro de los cinco (5) días hábiles de consentida la buena pro, el proveedor ganador de la Buena Pro deberá entregar los documentos indicados precedentemente.</w:t>
      </w:r>
      <w:r>
        <w:rPr>
          <w:rFonts w:ascii="Tahoma" w:eastAsiaTheme="minorHAnsi" w:hAnsi="Tahoma" w:cs="Tahoma"/>
          <w:color w:val="000000"/>
          <w:sz w:val="22"/>
          <w:szCs w:val="22"/>
          <w:lang w:eastAsia="en-US"/>
        </w:rPr>
        <w:t xml:space="preserve">  A solicitud del proveedor previa autorización de PETROPERU, este plazo podrá ser ampliado hasta por cinco (5) días hábiles adicionales. La Entidad suscribirá la Orden de Trabajo a Terceros con el Contratista dentro de los dos (2) días hábiles siguientes de entregados correctamente los documentos indicados con anterioridad, dicho plazo podrá ser ampliado hasta cinco (5) días hábiles adicionales. Por ningún motivo los plazos podrán ser mayores al de la validez de la oferta de la propuesta ganadora.</w:t>
      </w:r>
    </w:p>
    <w:p w:rsidR="00003542" w:rsidRDefault="00003542" w:rsidP="00003542">
      <w:pPr>
        <w:autoSpaceDE w:val="0"/>
        <w:autoSpaceDN w:val="0"/>
        <w:adjustRightInd w:val="0"/>
        <w:ind w:left="567" w:hanging="567"/>
        <w:jc w:val="both"/>
        <w:rPr>
          <w:rFonts w:ascii="Tahoma" w:eastAsiaTheme="minorHAnsi" w:hAnsi="Tahoma" w:cs="Tahoma"/>
          <w:color w:val="000000"/>
          <w:sz w:val="22"/>
          <w:szCs w:val="22"/>
          <w:lang w:eastAsia="en-US"/>
        </w:rPr>
      </w:pPr>
    </w:p>
    <w:p w:rsidR="00003542" w:rsidRPr="0012176D" w:rsidRDefault="00003542" w:rsidP="00003542">
      <w:pPr>
        <w:numPr>
          <w:ilvl w:val="0"/>
          <w:numId w:val="17"/>
        </w:numPr>
        <w:tabs>
          <w:tab w:val="clear" w:pos="360"/>
        </w:tabs>
        <w:ind w:left="567" w:hanging="567"/>
        <w:jc w:val="both"/>
        <w:rPr>
          <w:rFonts w:ascii="Tahoma" w:hAnsi="Tahoma" w:cs="Tahoma"/>
          <w:b/>
          <w:sz w:val="22"/>
          <w:szCs w:val="22"/>
        </w:rPr>
      </w:pPr>
      <w:r w:rsidRPr="0012176D">
        <w:rPr>
          <w:rFonts w:ascii="Tahoma" w:eastAsiaTheme="minorHAnsi" w:hAnsi="Tahoma" w:cs="Tahoma"/>
          <w:color w:val="000000"/>
          <w:sz w:val="22"/>
          <w:szCs w:val="22"/>
          <w:lang w:eastAsia="en-US"/>
        </w:rPr>
        <w:t>De la revisión de los antecedentes administrativos, se aprecia que el 22 de enero del 2010, se otorgó la buena pro al Postor siendo que dichos resultados fueron publicados en el SEACE en la misma fecha.</w:t>
      </w:r>
    </w:p>
    <w:p w:rsidR="00003542" w:rsidRDefault="00003542" w:rsidP="00003542">
      <w:pPr>
        <w:autoSpaceDE w:val="0"/>
        <w:autoSpaceDN w:val="0"/>
        <w:adjustRightInd w:val="0"/>
        <w:ind w:left="567" w:hanging="567"/>
        <w:jc w:val="both"/>
        <w:rPr>
          <w:rFonts w:ascii="Tahoma" w:eastAsiaTheme="minorHAnsi" w:hAnsi="Tahoma" w:cs="Tahoma"/>
          <w:color w:val="000000"/>
          <w:sz w:val="22"/>
          <w:szCs w:val="22"/>
          <w:lang w:eastAsia="en-US"/>
        </w:rPr>
      </w:pPr>
    </w:p>
    <w:p w:rsidR="00003542" w:rsidRDefault="00003542" w:rsidP="00003542">
      <w:pPr>
        <w:autoSpaceDE w:val="0"/>
        <w:autoSpaceDN w:val="0"/>
        <w:adjustRightInd w:val="0"/>
        <w:ind w:left="567"/>
        <w:jc w:val="both"/>
        <w:rPr>
          <w:rFonts w:ascii="Tahoma" w:eastAsiaTheme="minorHAnsi" w:hAnsi="Tahoma" w:cs="Tahoma"/>
          <w:b/>
          <w:bCs/>
          <w:color w:val="000000"/>
          <w:sz w:val="22"/>
          <w:szCs w:val="22"/>
          <w:lang w:eastAsia="en-US"/>
        </w:rPr>
      </w:pPr>
      <w:r>
        <w:rPr>
          <w:rFonts w:ascii="Tahoma" w:eastAsiaTheme="minorHAnsi" w:hAnsi="Tahoma" w:cs="Tahoma"/>
          <w:color w:val="000000"/>
          <w:sz w:val="22"/>
          <w:szCs w:val="22"/>
          <w:lang w:eastAsia="en-US"/>
        </w:rPr>
        <w:t xml:space="preserve">De acuerdo a lo establecido en el numeral 12 de las Bases Administrativas, en concordancia con el numeral 7.9 del Reglamento de PETROPERU, en los procesos por competencia menor, los postores podrán presentar los recursos de apelación sólo después de otorgada la buena pro o declarado desierto por descalificación o inadmisibilidad de propuestas; siendo que </w:t>
      </w:r>
      <w:r>
        <w:rPr>
          <w:rFonts w:ascii="Tahoma" w:eastAsiaTheme="minorHAnsi" w:hAnsi="Tahoma" w:cs="Tahoma"/>
          <w:b/>
          <w:bCs/>
          <w:color w:val="000000"/>
          <w:sz w:val="22"/>
          <w:szCs w:val="22"/>
          <w:lang w:eastAsia="en-US"/>
        </w:rPr>
        <w:t xml:space="preserve">el plazo para su interposición es de tres (3) días hábiles siguientes a la notificación de la buena pro a través del SEACE. </w:t>
      </w:r>
    </w:p>
    <w:p w:rsidR="00003542" w:rsidRDefault="00003542" w:rsidP="00003542">
      <w:pPr>
        <w:autoSpaceDE w:val="0"/>
        <w:autoSpaceDN w:val="0"/>
        <w:adjustRightInd w:val="0"/>
        <w:ind w:left="567" w:hanging="567"/>
        <w:jc w:val="both"/>
        <w:rPr>
          <w:rFonts w:ascii="Tahoma" w:eastAsiaTheme="minorHAnsi" w:hAnsi="Tahoma" w:cs="Tahoma"/>
          <w:b/>
          <w:bCs/>
          <w:color w:val="000000"/>
          <w:sz w:val="22"/>
          <w:szCs w:val="22"/>
          <w:lang w:eastAsia="en-US"/>
        </w:rPr>
      </w:pPr>
    </w:p>
    <w:p w:rsidR="00003542" w:rsidRDefault="00003542" w:rsidP="00003542">
      <w:pPr>
        <w:autoSpaceDE w:val="0"/>
        <w:autoSpaceDN w:val="0"/>
        <w:adjustRightInd w:val="0"/>
        <w:ind w:left="567"/>
        <w:jc w:val="both"/>
        <w:rPr>
          <w:rFonts w:ascii="Tahoma" w:eastAsiaTheme="minorHAnsi" w:hAnsi="Tahoma" w:cs="Tahoma"/>
          <w:color w:val="000000"/>
          <w:sz w:val="22"/>
          <w:szCs w:val="22"/>
          <w:lang w:eastAsia="en-US"/>
        </w:rPr>
      </w:pPr>
      <w:r>
        <w:rPr>
          <w:rFonts w:ascii="Tahoma" w:eastAsiaTheme="minorHAnsi" w:hAnsi="Tahoma" w:cs="Tahoma"/>
          <w:color w:val="000000"/>
          <w:sz w:val="22"/>
          <w:szCs w:val="22"/>
          <w:lang w:eastAsia="en-US"/>
        </w:rPr>
        <w:t xml:space="preserve">Nótese, además, que en virtud a lo establecido en el numeral 6.22 del citado Reglamento de PETROPERU, </w:t>
      </w:r>
      <w:r>
        <w:rPr>
          <w:rFonts w:ascii="Tahoma" w:eastAsiaTheme="minorHAnsi" w:hAnsi="Tahoma" w:cs="Tahoma"/>
          <w:b/>
          <w:bCs/>
          <w:color w:val="000000"/>
          <w:sz w:val="22"/>
          <w:szCs w:val="22"/>
          <w:lang w:eastAsia="en-US"/>
        </w:rPr>
        <w:t>todos los actos de los procesos por competencia que se registren en el SEACE se entenderán notificados el mismo día de su publicación</w:t>
      </w:r>
      <w:r>
        <w:rPr>
          <w:rFonts w:ascii="Tahoma" w:eastAsiaTheme="minorHAnsi" w:hAnsi="Tahoma" w:cs="Tahoma"/>
          <w:color w:val="000000"/>
          <w:sz w:val="22"/>
          <w:szCs w:val="22"/>
          <w:lang w:eastAsia="en-US"/>
        </w:rPr>
        <w:t xml:space="preserve">, salvo que el presente Reglamento indique lo contrario. A solicitud del participante, en adición a la publicación efectuada en el SEACE, se le notificará a la dirección de correo electrónico que consigne al </w:t>
      </w:r>
      <w:r>
        <w:rPr>
          <w:rFonts w:ascii="Tahoma" w:eastAsiaTheme="minorHAnsi" w:hAnsi="Tahoma" w:cs="Tahoma"/>
          <w:color w:val="000000"/>
          <w:sz w:val="22"/>
          <w:szCs w:val="22"/>
          <w:lang w:eastAsia="en-US"/>
        </w:rPr>
        <w:lastRenderedPageBreak/>
        <w:t>momento de registrarse como participante.  En los procesos por Competencia Menor, podrá solicitarlo por cualquier medio escrito, antes de la presentación de propuestas.  La notificación a través del SEACE prevalece sobre cualquier medio que se haya utilizado adicionalmente, siendo responsabilidad del participante el permanente seguimiento del respectivo proceso a través del SEACE.  Para efectos de los recursos de apelación y revisión, la notificación a través del SEACE surte efecto al día siguiente de su publicación en el SEACE.</w:t>
      </w:r>
    </w:p>
    <w:p w:rsidR="00003542" w:rsidRDefault="00003542" w:rsidP="00003542">
      <w:pPr>
        <w:autoSpaceDE w:val="0"/>
        <w:autoSpaceDN w:val="0"/>
        <w:adjustRightInd w:val="0"/>
        <w:ind w:left="567" w:hanging="567"/>
        <w:jc w:val="both"/>
        <w:rPr>
          <w:rFonts w:ascii="Tahoma" w:eastAsiaTheme="minorHAnsi" w:hAnsi="Tahoma" w:cs="Tahoma"/>
          <w:color w:val="000000"/>
          <w:sz w:val="22"/>
          <w:szCs w:val="22"/>
          <w:lang w:eastAsia="en-US"/>
        </w:rPr>
      </w:pPr>
    </w:p>
    <w:p w:rsidR="00003542" w:rsidRDefault="00003542" w:rsidP="00003542">
      <w:pPr>
        <w:autoSpaceDE w:val="0"/>
        <w:autoSpaceDN w:val="0"/>
        <w:adjustRightInd w:val="0"/>
        <w:ind w:left="567"/>
        <w:jc w:val="both"/>
        <w:rPr>
          <w:rFonts w:ascii="Tahoma" w:eastAsiaTheme="minorHAnsi" w:hAnsi="Tahoma" w:cs="Tahoma"/>
          <w:color w:val="000000"/>
          <w:sz w:val="22"/>
          <w:szCs w:val="22"/>
          <w:lang w:eastAsia="en-US"/>
        </w:rPr>
      </w:pPr>
      <w:r>
        <w:rPr>
          <w:rFonts w:ascii="Tahoma" w:eastAsiaTheme="minorHAnsi" w:hAnsi="Tahoma" w:cs="Tahoma"/>
          <w:color w:val="000000"/>
          <w:sz w:val="22"/>
          <w:szCs w:val="22"/>
          <w:lang w:eastAsia="en-US"/>
        </w:rPr>
        <w:t>Por tanto, se colige que la buena pro a favor del Postor quedó consentida el 27 de enero del 2010, a partir de lo cual debe entenderse que aquél debió entregar la documentación necesaria para la firma del contrato a más tardar el 03 de febrero del 2010.</w:t>
      </w:r>
    </w:p>
    <w:p w:rsidR="00003542" w:rsidRDefault="00003542" w:rsidP="00003542">
      <w:pPr>
        <w:autoSpaceDE w:val="0"/>
        <w:autoSpaceDN w:val="0"/>
        <w:adjustRightInd w:val="0"/>
        <w:ind w:left="567"/>
        <w:jc w:val="both"/>
        <w:rPr>
          <w:rFonts w:ascii="Tahoma" w:eastAsiaTheme="minorHAnsi" w:hAnsi="Tahoma" w:cs="Tahoma"/>
          <w:color w:val="000000"/>
          <w:sz w:val="22"/>
          <w:szCs w:val="22"/>
          <w:lang w:eastAsia="en-US"/>
        </w:rPr>
      </w:pPr>
    </w:p>
    <w:p w:rsidR="00003542" w:rsidRDefault="00003542" w:rsidP="00003542">
      <w:pPr>
        <w:numPr>
          <w:ilvl w:val="0"/>
          <w:numId w:val="17"/>
        </w:numPr>
        <w:tabs>
          <w:tab w:val="clear" w:pos="360"/>
        </w:tabs>
        <w:ind w:left="567" w:hanging="567"/>
        <w:jc w:val="both"/>
        <w:rPr>
          <w:rFonts w:ascii="Tahoma" w:hAnsi="Tahoma" w:cs="Tahoma"/>
          <w:sz w:val="22"/>
          <w:szCs w:val="22"/>
        </w:rPr>
      </w:pPr>
      <w:r w:rsidRPr="0012176D">
        <w:rPr>
          <w:rFonts w:ascii="Tahoma" w:hAnsi="Tahoma" w:cs="Tahoma"/>
          <w:sz w:val="22"/>
          <w:szCs w:val="22"/>
        </w:rPr>
        <w:t>No obstante lo señalado anteriormente,</w:t>
      </w:r>
      <w:r>
        <w:rPr>
          <w:rFonts w:ascii="Tahoma" w:hAnsi="Tahoma" w:cs="Tahoma"/>
          <w:sz w:val="22"/>
          <w:szCs w:val="22"/>
        </w:rPr>
        <w:t xml:space="preserve"> el Postor a través del escrito presentado ante la Entidad el 29 de enero del 2010, solicitó (05) días hábiles adicionales para poder presentar los documentos previos a la Orden de Trabajo (OTT), sin embargo, el Postor afirmó, en su escrito descargos, que la Entidad al no efectuar autorización expresa de prorrogar el plazo para la presentación de los documentos necesarios, tal como lo establece el numeral 13.2 de las Bases, no se habría cumplido con el procedimiento de suscripción del contrato.</w:t>
      </w:r>
    </w:p>
    <w:p w:rsidR="00003542" w:rsidRDefault="00003542" w:rsidP="00003542">
      <w:pPr>
        <w:ind w:left="567"/>
        <w:jc w:val="both"/>
        <w:rPr>
          <w:rFonts w:ascii="Tahoma" w:hAnsi="Tahoma" w:cs="Tahoma"/>
          <w:sz w:val="22"/>
          <w:szCs w:val="22"/>
        </w:rPr>
      </w:pPr>
    </w:p>
    <w:p w:rsidR="00003542" w:rsidRDefault="00003542" w:rsidP="00003542">
      <w:pPr>
        <w:numPr>
          <w:ilvl w:val="0"/>
          <w:numId w:val="17"/>
        </w:numPr>
        <w:tabs>
          <w:tab w:val="clear" w:pos="360"/>
        </w:tabs>
        <w:ind w:left="567" w:hanging="567"/>
        <w:jc w:val="both"/>
        <w:rPr>
          <w:rFonts w:ascii="Tahoma" w:hAnsi="Tahoma" w:cs="Tahoma"/>
          <w:sz w:val="22"/>
          <w:szCs w:val="22"/>
        </w:rPr>
      </w:pPr>
      <w:r>
        <w:rPr>
          <w:rFonts w:ascii="Tahoma" w:hAnsi="Tahoma" w:cs="Tahoma"/>
          <w:sz w:val="22"/>
          <w:szCs w:val="22"/>
        </w:rPr>
        <w:t>En efecto, cabe precisar que si bien es cierto, el numeral 13.2 de las Bases ha establecido que a solicitud del proveedor y previa autorización de PETROPERÚ, el plazo de los cinco (05) días, para entregar los documentos para la suscripción de la Orden de Trabajo (OTT) podrá ser ampliado hasta por cinco (05) días, no es menos cierto que en el presente caso, la Entidad no ha retirado el otorgamiento de la Buena Pro por el incumplimiento del Postor adjudicado al no haber entregado, dentro del plazo inicial de cinco días establecido, los documentos para la suscripción del Contrato, sino que, por el contrario, tal como se puede advertir en el Carta TL-ULOG-CO-0594-2010 de fecha 10 de febrero del 2010, la Entidad dejó sin efecto el otorgamiento de la Buena Pro, en virtud a la Carta Nº 077-2010-TT de fecha 04 de febrero del 2010, en la cual el Postor expresamente informó a la Entidad su decisión de no entregar los documentos necesarios para la suscripción de la Orden de Trabajo a Terceros (OTT).</w:t>
      </w:r>
    </w:p>
    <w:p w:rsidR="00003542" w:rsidRDefault="00003542" w:rsidP="00003542">
      <w:pPr>
        <w:pStyle w:val="Prrafodelista"/>
        <w:rPr>
          <w:rFonts w:ascii="Tahoma" w:hAnsi="Tahoma" w:cs="Tahoma"/>
          <w:sz w:val="22"/>
          <w:szCs w:val="22"/>
        </w:rPr>
      </w:pPr>
    </w:p>
    <w:p w:rsidR="00003542" w:rsidRDefault="00003542" w:rsidP="00003542">
      <w:pPr>
        <w:numPr>
          <w:ilvl w:val="0"/>
          <w:numId w:val="17"/>
        </w:numPr>
        <w:tabs>
          <w:tab w:val="clear" w:pos="360"/>
        </w:tabs>
        <w:ind w:left="567" w:hanging="567"/>
        <w:jc w:val="both"/>
        <w:rPr>
          <w:rFonts w:ascii="Tahoma" w:hAnsi="Tahoma" w:cs="Tahoma"/>
          <w:sz w:val="22"/>
          <w:szCs w:val="22"/>
        </w:rPr>
      </w:pPr>
      <w:r>
        <w:rPr>
          <w:rFonts w:ascii="Tahoma" w:hAnsi="Tahoma" w:cs="Tahoma"/>
          <w:sz w:val="22"/>
          <w:szCs w:val="22"/>
        </w:rPr>
        <w:t>Nótese entonces, en el presente caso, que el análisis referido a evaluar si la Entidad ha autorizado o no la ampliación de cinco (05) días, resultaría irrelevante, al no haber existido incumplimiento de la Entidad en el procedimiento para la suscripción del contrato, toda vez que se ha podido advertir que al día siguiente de concluido el plazo inicial de cinco días (05) días para presentar los documentos, es decir el 04 de febrero del 2010, el Postor mediante Carta Nº 077-2010-TT expresamente informó a la Entidad su decisión de no entregar los documentos necesarios para la suscripción de la Orden de Trabajo a Terceros (OTT), razón por la cual la Entidad retiró el otorgamiento de la Buena Pro adjudicada a favor del Postor.</w:t>
      </w:r>
    </w:p>
    <w:p w:rsidR="00003542" w:rsidRDefault="00003542" w:rsidP="00003542">
      <w:pPr>
        <w:pStyle w:val="Prrafodelista"/>
        <w:rPr>
          <w:rFonts w:ascii="Tahoma" w:hAnsi="Tahoma" w:cs="Tahoma"/>
          <w:sz w:val="22"/>
          <w:szCs w:val="22"/>
        </w:rPr>
      </w:pPr>
    </w:p>
    <w:p w:rsidR="00003542" w:rsidRDefault="00003542" w:rsidP="00003542">
      <w:pPr>
        <w:numPr>
          <w:ilvl w:val="0"/>
          <w:numId w:val="17"/>
        </w:numPr>
        <w:tabs>
          <w:tab w:val="clear" w:pos="360"/>
        </w:tabs>
        <w:ind w:left="567" w:hanging="567"/>
        <w:jc w:val="both"/>
        <w:rPr>
          <w:rFonts w:ascii="Tahoma" w:hAnsi="Tahoma" w:cs="Tahoma"/>
          <w:sz w:val="22"/>
          <w:szCs w:val="22"/>
        </w:rPr>
      </w:pPr>
      <w:r w:rsidRPr="004C53C2">
        <w:rPr>
          <w:rFonts w:ascii="Tahoma" w:hAnsi="Tahoma" w:cs="Tahoma"/>
          <w:sz w:val="22"/>
          <w:szCs w:val="22"/>
          <w:lang w:eastAsia="es-PE"/>
        </w:rPr>
        <w:t xml:space="preserve">Así también, el Postor en su escrito de descargos, señaló que en las Bases no se ha regulado íntegramente el procedimiento para lograr la suscripción de dicha orden, al existir un vació legal respecto al procedimiento para notificar la oportunidad de suscribir la OTT, luego que la Entidad dé la conformidad a los documentos presentados, no obstante ello, cabe precisar que el análisis que se realice respecto a lo indicado, también resulta irrelevante, toda vez que, tal como se señaló anteriormente, en el presente caso, no se continuó con el procedimiento </w:t>
      </w:r>
      <w:r>
        <w:rPr>
          <w:rFonts w:ascii="Tahoma" w:hAnsi="Tahoma" w:cs="Tahoma"/>
          <w:sz w:val="22"/>
          <w:szCs w:val="22"/>
          <w:lang w:eastAsia="es-PE"/>
        </w:rPr>
        <w:t>para la</w:t>
      </w:r>
      <w:r w:rsidRPr="004C53C2">
        <w:rPr>
          <w:rFonts w:ascii="Tahoma" w:hAnsi="Tahoma" w:cs="Tahoma"/>
          <w:sz w:val="22"/>
          <w:szCs w:val="22"/>
          <w:lang w:eastAsia="es-PE"/>
        </w:rPr>
        <w:t xml:space="preserve"> suscripción del contrato, toda vez que el Postor </w:t>
      </w:r>
      <w:r>
        <w:rPr>
          <w:rFonts w:ascii="Tahoma" w:hAnsi="Tahoma" w:cs="Tahoma"/>
          <w:sz w:val="22"/>
          <w:szCs w:val="22"/>
          <w:lang w:eastAsia="es-PE"/>
        </w:rPr>
        <w:t xml:space="preserve">ya había comunicado a la Entidad que no entregaría los documentos para la suscripción de la </w:t>
      </w:r>
      <w:r>
        <w:rPr>
          <w:rFonts w:ascii="Tahoma" w:hAnsi="Tahoma" w:cs="Tahoma"/>
          <w:sz w:val="22"/>
          <w:szCs w:val="22"/>
        </w:rPr>
        <w:t>Orden de Trabajo a Terceros (OTT)</w:t>
      </w:r>
      <w:r>
        <w:rPr>
          <w:rFonts w:ascii="Tahoma" w:hAnsi="Tahoma" w:cs="Tahoma"/>
          <w:sz w:val="22"/>
          <w:szCs w:val="22"/>
          <w:lang w:eastAsia="es-PE"/>
        </w:rPr>
        <w:t>.</w:t>
      </w:r>
    </w:p>
    <w:p w:rsidR="00003542" w:rsidRDefault="00003542" w:rsidP="00003542">
      <w:pPr>
        <w:pStyle w:val="Prrafodelista"/>
        <w:rPr>
          <w:rFonts w:ascii="Tahoma" w:hAnsi="Tahoma" w:cs="Tahoma"/>
          <w:sz w:val="22"/>
          <w:szCs w:val="22"/>
        </w:rPr>
      </w:pPr>
    </w:p>
    <w:p w:rsidR="00003542" w:rsidRPr="008F193B" w:rsidRDefault="00003542" w:rsidP="00003542">
      <w:pPr>
        <w:pStyle w:val="Prrafodelista"/>
        <w:ind w:left="567"/>
        <w:rPr>
          <w:rFonts w:ascii="Tahoma" w:hAnsi="Tahoma" w:cs="Tahoma"/>
          <w:b/>
          <w:sz w:val="22"/>
          <w:szCs w:val="22"/>
        </w:rPr>
      </w:pPr>
      <w:r w:rsidRPr="008F193B">
        <w:rPr>
          <w:rFonts w:ascii="Tahoma" w:hAnsi="Tahoma" w:cs="Tahoma"/>
          <w:b/>
          <w:sz w:val="22"/>
          <w:szCs w:val="22"/>
        </w:rPr>
        <w:t xml:space="preserve">Respecto a la no suscripción </w:t>
      </w:r>
      <w:r w:rsidRPr="008F193B">
        <w:rPr>
          <w:rFonts w:ascii="Tahoma" w:hAnsi="Tahoma" w:cs="Tahoma"/>
          <w:b/>
          <w:sz w:val="22"/>
          <w:szCs w:val="22"/>
          <w:lang w:eastAsia="es-PE"/>
        </w:rPr>
        <w:t xml:space="preserve">de la </w:t>
      </w:r>
      <w:r w:rsidRPr="008F193B">
        <w:rPr>
          <w:rFonts w:ascii="Tahoma" w:hAnsi="Tahoma" w:cs="Tahoma"/>
          <w:b/>
          <w:sz w:val="22"/>
          <w:szCs w:val="22"/>
        </w:rPr>
        <w:t>Orden de Trabajo a Terceros (OTT)</w:t>
      </w:r>
    </w:p>
    <w:p w:rsidR="00003542" w:rsidRDefault="00003542" w:rsidP="00003542">
      <w:pPr>
        <w:pStyle w:val="Prrafodelista"/>
        <w:rPr>
          <w:rFonts w:ascii="Tahoma" w:hAnsi="Tahoma" w:cs="Tahoma"/>
          <w:sz w:val="22"/>
          <w:szCs w:val="22"/>
        </w:rPr>
      </w:pPr>
    </w:p>
    <w:p w:rsidR="00003542" w:rsidRDefault="00003542" w:rsidP="00003542">
      <w:pPr>
        <w:numPr>
          <w:ilvl w:val="0"/>
          <w:numId w:val="17"/>
        </w:numPr>
        <w:tabs>
          <w:tab w:val="clear" w:pos="360"/>
        </w:tabs>
        <w:ind w:left="567" w:hanging="567"/>
        <w:jc w:val="both"/>
        <w:rPr>
          <w:rFonts w:ascii="Tahoma" w:hAnsi="Tahoma" w:cs="Tahoma"/>
          <w:sz w:val="22"/>
          <w:szCs w:val="22"/>
        </w:rPr>
      </w:pPr>
      <w:r>
        <w:rPr>
          <w:rFonts w:ascii="Tahoma" w:hAnsi="Tahoma" w:cs="Tahoma"/>
          <w:sz w:val="22"/>
          <w:szCs w:val="22"/>
        </w:rPr>
        <w:t>Ahora bien, la causal de infracción imputada al Postor, está referida a la no suscripción del contrato de manera injustificada a pesar de resultar ganador del otorgamiento de la Buena Pro, por lo tanto, antes de atribuir responsabilidad administrativa, previamente este Colegiado debe analizar los hechos materias de denuncia, a fin de verificar si la no suscripción del contrato se dio por razones justificadas, toda vez que dicha situación acarrearía la liberación del Postor de responsabilidad administrativa.</w:t>
      </w:r>
    </w:p>
    <w:p w:rsidR="00003542" w:rsidRDefault="00003542" w:rsidP="00003542">
      <w:pPr>
        <w:ind w:left="567"/>
        <w:jc w:val="both"/>
        <w:rPr>
          <w:rFonts w:ascii="Tahoma" w:hAnsi="Tahoma" w:cs="Tahoma"/>
          <w:sz w:val="22"/>
          <w:szCs w:val="22"/>
        </w:rPr>
      </w:pPr>
    </w:p>
    <w:p w:rsidR="00003542" w:rsidRDefault="00003542" w:rsidP="00003542">
      <w:pPr>
        <w:numPr>
          <w:ilvl w:val="0"/>
          <w:numId w:val="17"/>
        </w:numPr>
        <w:tabs>
          <w:tab w:val="clear" w:pos="360"/>
        </w:tabs>
        <w:ind w:left="567" w:hanging="567"/>
        <w:jc w:val="both"/>
        <w:rPr>
          <w:rFonts w:ascii="Tahoma" w:hAnsi="Tahoma" w:cs="Tahoma"/>
          <w:sz w:val="22"/>
          <w:szCs w:val="22"/>
        </w:rPr>
      </w:pPr>
      <w:r>
        <w:rPr>
          <w:rFonts w:ascii="Tahoma" w:hAnsi="Tahoma" w:cs="Tahoma"/>
          <w:sz w:val="22"/>
          <w:szCs w:val="22"/>
        </w:rPr>
        <w:t>En relación a lo anterior, debe señalarse que el postor adjudicatario de la Buena Pro de un proceso de selección, tiene como obligación mantener su propuesta hasta la suscripción del contrato, constituyendo dicha obligación una carga impuesta al administrado en virtud de los vínculos jurídicos que lo ligan con el Estado, que a decir de Roberto Dromi</w:t>
      </w:r>
      <w:r>
        <w:rPr>
          <w:rStyle w:val="Refdenotaalpie"/>
          <w:rFonts w:ascii="Tahoma" w:hAnsi="Tahoma"/>
          <w:sz w:val="22"/>
          <w:szCs w:val="22"/>
        </w:rPr>
        <w:footnoteReference w:id="5"/>
      </w:r>
      <w:r>
        <w:rPr>
          <w:rFonts w:ascii="Tahoma" w:hAnsi="Tahoma" w:cs="Tahoma"/>
          <w:sz w:val="22"/>
          <w:szCs w:val="22"/>
        </w:rPr>
        <w:t xml:space="preserve"> se funda, entre otras razones jurídicas, en la significación política y social del interés público afectado y en la confianza y responsabilidad del licitante, que excluyen el arbitrio o la inestabilidad en la promesa formulada por el particular oferente.</w:t>
      </w:r>
    </w:p>
    <w:p w:rsidR="00003542" w:rsidRDefault="00003542" w:rsidP="00003542">
      <w:pPr>
        <w:ind w:left="567"/>
        <w:jc w:val="both"/>
        <w:rPr>
          <w:rFonts w:ascii="Tahoma" w:hAnsi="Tahoma" w:cs="Tahoma"/>
          <w:sz w:val="22"/>
          <w:szCs w:val="22"/>
        </w:rPr>
      </w:pPr>
    </w:p>
    <w:p w:rsidR="00003542" w:rsidRDefault="00003542" w:rsidP="00003542">
      <w:pPr>
        <w:numPr>
          <w:ilvl w:val="0"/>
          <w:numId w:val="17"/>
        </w:numPr>
        <w:tabs>
          <w:tab w:val="clear" w:pos="360"/>
        </w:tabs>
        <w:ind w:left="567" w:hanging="567"/>
        <w:jc w:val="both"/>
        <w:rPr>
          <w:rFonts w:ascii="Tahoma" w:hAnsi="Tahoma" w:cs="Tahoma"/>
          <w:sz w:val="22"/>
          <w:szCs w:val="22"/>
        </w:rPr>
      </w:pPr>
      <w:r>
        <w:rPr>
          <w:rFonts w:ascii="Tahoma" w:hAnsi="Tahoma" w:cs="Tahoma"/>
          <w:sz w:val="22"/>
          <w:szCs w:val="22"/>
        </w:rPr>
        <w:t>En efecto, lo señalado anteriormente, se verifica en nuestra normativa de contrataciones, toda vez que el artículo 42 del Reglamento establece como un documento de presentación obligatoria la Declaración Jurada Simple en la cual el postor se comprometa, entre otros, a mantener su oferta durante el proceso de selección y a suscribir el contrato en caso de resultar favorecido con la Buena Pro.</w:t>
      </w:r>
    </w:p>
    <w:p w:rsidR="00003542" w:rsidRDefault="00003542" w:rsidP="00003542">
      <w:pPr>
        <w:pStyle w:val="Prrafodelista"/>
        <w:rPr>
          <w:rFonts w:ascii="Tahoma" w:hAnsi="Tahoma" w:cs="Tahoma"/>
          <w:sz w:val="22"/>
          <w:szCs w:val="22"/>
        </w:rPr>
      </w:pPr>
    </w:p>
    <w:p w:rsidR="00003542" w:rsidRDefault="00003542" w:rsidP="00003542">
      <w:pPr>
        <w:ind w:left="567"/>
        <w:jc w:val="both"/>
        <w:rPr>
          <w:rFonts w:ascii="Tahoma" w:hAnsi="Tahoma" w:cs="Tahoma"/>
          <w:sz w:val="22"/>
          <w:szCs w:val="22"/>
        </w:rPr>
      </w:pPr>
      <w:r>
        <w:rPr>
          <w:rFonts w:ascii="Tahoma" w:hAnsi="Tahoma" w:cs="Tahoma"/>
          <w:sz w:val="22"/>
          <w:szCs w:val="22"/>
        </w:rPr>
        <w:t>Asimismo, el artículo 137 del Reglamento establece que una vez que la Buena Pro ha quedado consentida o administrativamente firme, tanto la Entidad como el o los postores ganadores, están obligados a suscribir el o los contratos respectivos.</w:t>
      </w:r>
    </w:p>
    <w:p w:rsidR="00003542" w:rsidRDefault="00003542" w:rsidP="00003542">
      <w:pPr>
        <w:jc w:val="both"/>
        <w:rPr>
          <w:rFonts w:ascii="Tahoma" w:hAnsi="Tahoma" w:cs="Tahoma"/>
          <w:sz w:val="22"/>
          <w:szCs w:val="22"/>
        </w:rPr>
      </w:pPr>
    </w:p>
    <w:p w:rsidR="00003542" w:rsidRDefault="00003542" w:rsidP="00003542">
      <w:pPr>
        <w:numPr>
          <w:ilvl w:val="0"/>
          <w:numId w:val="17"/>
        </w:numPr>
        <w:tabs>
          <w:tab w:val="clear" w:pos="360"/>
        </w:tabs>
        <w:ind w:left="567" w:hanging="567"/>
        <w:jc w:val="both"/>
        <w:rPr>
          <w:rFonts w:ascii="Tahoma" w:hAnsi="Tahoma" w:cs="Tahoma"/>
          <w:sz w:val="22"/>
          <w:szCs w:val="22"/>
        </w:rPr>
      </w:pPr>
      <w:r>
        <w:rPr>
          <w:rFonts w:ascii="Tahoma" w:hAnsi="Tahoma" w:cs="Tahoma"/>
          <w:sz w:val="22"/>
          <w:szCs w:val="22"/>
        </w:rPr>
        <w:t>Respecto a todo ello</w:t>
      </w:r>
      <w:r w:rsidRPr="003E5026">
        <w:rPr>
          <w:rFonts w:ascii="Tahoma" w:hAnsi="Tahoma" w:cs="Tahoma"/>
          <w:sz w:val="22"/>
          <w:szCs w:val="22"/>
        </w:rPr>
        <w:t>, el Postor ha señalado que ha cometido error al momento de presentar su propuesta económica, toda vez que un ingeniero de su departamento técnico, el mismo que se encontraba de viaje, elaboró el Presupuesto de Estudio de Riesgo, no obstante ello, no incluyó la moneda en la que fue trabajado, por lo tanto, al adecuar su propuesta al formato solicitado por PETROPERÚ, que fue realizado por un asistente en Lima, se asumió que el mismo estaba inicialmente en nuevos soles y se hizo la conversión a dólares (división entre S/. 2.8), por lo cual, el valor real que debió haber ofertado es de US$ 31,853.92 (Dólares Americanos), valor que se encuentra exactamente dentro del rango de las propuestas de los otros postores que participaron en el proceso de selección y no el valor que ofertó en su propuesta económica, el mismo que asciende a US$ 11,376.46 (Dólares Americanos).</w:t>
      </w:r>
    </w:p>
    <w:p w:rsidR="00003542" w:rsidRDefault="00003542" w:rsidP="00003542">
      <w:pPr>
        <w:jc w:val="both"/>
        <w:rPr>
          <w:rFonts w:ascii="Tahoma" w:hAnsi="Tahoma" w:cs="Tahoma"/>
          <w:sz w:val="22"/>
          <w:szCs w:val="22"/>
          <w:lang w:eastAsia="es-PE"/>
        </w:rPr>
      </w:pPr>
    </w:p>
    <w:p w:rsidR="00003542" w:rsidRPr="00412125" w:rsidRDefault="00003542" w:rsidP="00003542">
      <w:pPr>
        <w:ind w:left="567"/>
        <w:jc w:val="both"/>
        <w:rPr>
          <w:rFonts w:ascii="Tahoma" w:hAnsi="Tahoma" w:cs="Tahoma"/>
          <w:sz w:val="22"/>
          <w:szCs w:val="22"/>
          <w:lang w:eastAsia="es-PE"/>
        </w:rPr>
      </w:pPr>
      <w:r>
        <w:rPr>
          <w:rFonts w:ascii="Tahoma" w:hAnsi="Tahoma" w:cs="Tahoma"/>
          <w:sz w:val="22"/>
          <w:szCs w:val="22"/>
          <w:lang w:eastAsia="es-PE"/>
        </w:rPr>
        <w:t xml:space="preserve">Asimismo, señaló que </w:t>
      </w:r>
      <w:r>
        <w:rPr>
          <w:rFonts w:ascii="Tahoma" w:hAnsi="Tahoma" w:cs="Tahoma"/>
          <w:sz w:val="22"/>
          <w:szCs w:val="22"/>
        </w:rPr>
        <w:t>si bien es cierto</w:t>
      </w:r>
      <w:r w:rsidRPr="00412125">
        <w:rPr>
          <w:rFonts w:ascii="Tahoma" w:hAnsi="Tahoma" w:cs="Tahoma"/>
          <w:sz w:val="22"/>
          <w:szCs w:val="22"/>
          <w:lang w:eastAsia="es-PE"/>
        </w:rPr>
        <w:t xml:space="preserve"> son responsables de la oferta presentada, obligándolos a mantener hasta la suscripción </w:t>
      </w:r>
      <w:r>
        <w:rPr>
          <w:rFonts w:ascii="Tahoma" w:hAnsi="Tahoma" w:cs="Tahoma"/>
          <w:sz w:val="22"/>
          <w:szCs w:val="22"/>
          <w:lang w:eastAsia="es-PE"/>
        </w:rPr>
        <w:t>del contrato, no es menos cierto que</w:t>
      </w:r>
      <w:r w:rsidRPr="00412125">
        <w:rPr>
          <w:rFonts w:ascii="Tahoma" w:hAnsi="Tahoma" w:cs="Tahoma"/>
          <w:sz w:val="22"/>
          <w:szCs w:val="22"/>
          <w:lang w:eastAsia="es-PE"/>
        </w:rPr>
        <w:t xml:space="preserve"> el error en que se incurrió al presupuestar y trasladar al formato el monto por un valor cercano a la tercera parte de su costo real, tornaba imposible la ejecución del contrato, toda vez que, además de tratarse de una oferta diminuta</w:t>
      </w:r>
      <w:r>
        <w:rPr>
          <w:rFonts w:ascii="Tahoma" w:hAnsi="Tahoma" w:cs="Tahoma"/>
          <w:sz w:val="22"/>
          <w:szCs w:val="22"/>
          <w:lang w:eastAsia="es-PE"/>
        </w:rPr>
        <w:t>,</w:t>
      </w:r>
      <w:r w:rsidRPr="00412125">
        <w:rPr>
          <w:rFonts w:ascii="Tahoma" w:hAnsi="Tahoma" w:cs="Tahoma"/>
          <w:sz w:val="22"/>
          <w:szCs w:val="22"/>
          <w:lang w:eastAsia="es-PE"/>
        </w:rPr>
        <w:t xml:space="preserve"> también se vería seriamente afectado el patrimonio de la sociedad.</w:t>
      </w:r>
    </w:p>
    <w:p w:rsidR="00003542" w:rsidRDefault="00003542" w:rsidP="00003542">
      <w:pPr>
        <w:ind w:left="567"/>
        <w:jc w:val="both"/>
        <w:rPr>
          <w:rFonts w:ascii="Tahoma" w:hAnsi="Tahoma" w:cs="Tahoma"/>
          <w:sz w:val="22"/>
          <w:szCs w:val="22"/>
        </w:rPr>
      </w:pPr>
    </w:p>
    <w:p w:rsidR="00003542" w:rsidRDefault="00003542" w:rsidP="00003542">
      <w:pPr>
        <w:ind w:left="540" w:right="-1"/>
        <w:jc w:val="both"/>
        <w:rPr>
          <w:rFonts w:ascii="Tahoma" w:hAnsi="Tahoma" w:cs="Tahoma"/>
          <w:sz w:val="22"/>
          <w:szCs w:val="22"/>
        </w:rPr>
      </w:pPr>
      <w:r>
        <w:rPr>
          <w:rFonts w:ascii="Tahoma" w:hAnsi="Tahoma" w:cs="Tahoma"/>
          <w:sz w:val="22"/>
          <w:szCs w:val="22"/>
        </w:rPr>
        <w:t>Finalmente, agregó que de la comparación de otros estudios de riesgos en el cual ha participado, es decir en la Actualización del Estudio de Riesgos de las Plantas de Ventas Iquitos y Aeropuertos Iquitos (CME – 0135-2008-OPS/PETROPERÚ) y en el Servicio de consultoría para la Elaboración de estudios de riesgos de la Planta de Ventas Pucallpa (CME-004-2009-OPS/PETROPERÚ), se puede advertir que la diferencia en cuanto al alcance de los requerimientos del Estudio de Riesgos para Planta de Ventas Piura es evidentemente mayor y, significativamente superior en costos, más aún, si se considera que en el estudio objeto de convocatoria del proceso de selección, del cual se derivó los hechos materia de denuncia, se solicitaron trabajos adicionales que no fueron requeridos en los estudios en los cuales ya había participado anteriormente.</w:t>
      </w:r>
    </w:p>
    <w:p w:rsidR="00003542" w:rsidRDefault="00003542" w:rsidP="00003542">
      <w:pPr>
        <w:ind w:left="540" w:right="-1"/>
        <w:jc w:val="both"/>
        <w:rPr>
          <w:rFonts w:ascii="Tahoma" w:hAnsi="Tahoma" w:cs="Tahoma"/>
          <w:sz w:val="22"/>
          <w:szCs w:val="22"/>
        </w:rPr>
      </w:pPr>
    </w:p>
    <w:p w:rsidR="00003542" w:rsidRDefault="00003542" w:rsidP="00003542">
      <w:pPr>
        <w:numPr>
          <w:ilvl w:val="0"/>
          <w:numId w:val="17"/>
        </w:numPr>
        <w:tabs>
          <w:tab w:val="clear" w:pos="360"/>
        </w:tabs>
        <w:ind w:left="567" w:hanging="567"/>
        <w:jc w:val="both"/>
        <w:rPr>
          <w:rFonts w:ascii="Tahoma" w:hAnsi="Tahoma" w:cs="Tahoma"/>
          <w:sz w:val="22"/>
          <w:szCs w:val="22"/>
        </w:rPr>
      </w:pPr>
      <w:r>
        <w:rPr>
          <w:rFonts w:ascii="Tahoma" w:hAnsi="Tahoma" w:cs="Tahoma"/>
          <w:sz w:val="22"/>
          <w:szCs w:val="22"/>
        </w:rPr>
        <w:t>En el caso materia de análisis, cabe precisar que el Postor presentó su propuesta económica, el cual ascendía a la suma de US$ 11,376.40 (Once mil trescientos setenta y seis con 40/100 Dólares Americanos), bajo el siguiente detalle:</w:t>
      </w:r>
    </w:p>
    <w:p w:rsidR="00003542" w:rsidRDefault="00003542" w:rsidP="00003542">
      <w:pPr>
        <w:ind w:left="567"/>
        <w:jc w:val="both"/>
        <w:rPr>
          <w:rFonts w:ascii="Tahoma" w:hAnsi="Tahoma" w:cs="Tahoma"/>
          <w:sz w:val="22"/>
          <w:szCs w:val="22"/>
        </w:rPr>
      </w:pPr>
    </w:p>
    <w:p w:rsidR="00003542" w:rsidRDefault="00003542" w:rsidP="00003542">
      <w:pPr>
        <w:ind w:left="567"/>
        <w:jc w:val="center"/>
        <w:rPr>
          <w:rFonts w:ascii="Tahoma" w:hAnsi="Tahoma" w:cs="Tahoma"/>
          <w:sz w:val="22"/>
          <w:szCs w:val="22"/>
        </w:rPr>
      </w:pPr>
      <w:r>
        <w:rPr>
          <w:rFonts w:ascii="Tahoma" w:hAnsi="Tahoma" w:cs="Tahoma"/>
          <w:noProof/>
          <w:sz w:val="22"/>
          <w:szCs w:val="22"/>
        </w:rPr>
        <w:lastRenderedPageBreak/>
        <w:drawing>
          <wp:inline distT="0" distB="0" distL="0" distR="0">
            <wp:extent cx="4139482" cy="3951799"/>
            <wp:effectExtent l="19050" t="0" r="0" b="0"/>
            <wp:docPr id="1" name="Imagen 1" descr="C:\Documents and Settings\jtorrico\Escritorio\EXP - 1160-2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jtorrico\Escritorio\EXP - 1160-2010.jpg"/>
                    <pic:cNvPicPr>
                      <a:picLocks noChangeAspect="1" noChangeArrowheads="1"/>
                    </pic:cNvPicPr>
                  </pic:nvPicPr>
                  <pic:blipFill>
                    <a:blip r:embed="rId7"/>
                    <a:srcRect/>
                    <a:stretch>
                      <a:fillRect/>
                    </a:stretch>
                  </pic:blipFill>
                  <pic:spPr bwMode="auto">
                    <a:xfrm>
                      <a:off x="0" y="0"/>
                      <a:ext cx="4144470" cy="3956561"/>
                    </a:xfrm>
                    <a:prstGeom prst="rect">
                      <a:avLst/>
                    </a:prstGeom>
                    <a:noFill/>
                    <a:ln w="9525">
                      <a:noFill/>
                      <a:miter lim="800000"/>
                      <a:headEnd/>
                      <a:tailEnd/>
                    </a:ln>
                  </pic:spPr>
                </pic:pic>
              </a:graphicData>
            </a:graphic>
          </wp:inline>
        </w:drawing>
      </w:r>
    </w:p>
    <w:p w:rsidR="00003542" w:rsidRDefault="00003542" w:rsidP="00003542">
      <w:pPr>
        <w:ind w:left="567"/>
        <w:jc w:val="both"/>
        <w:rPr>
          <w:rFonts w:ascii="Tahoma" w:hAnsi="Tahoma" w:cs="Tahoma"/>
          <w:sz w:val="22"/>
          <w:szCs w:val="22"/>
        </w:rPr>
      </w:pPr>
    </w:p>
    <w:p w:rsidR="00003542" w:rsidRDefault="00003542" w:rsidP="00003542">
      <w:pPr>
        <w:numPr>
          <w:ilvl w:val="0"/>
          <w:numId w:val="17"/>
        </w:numPr>
        <w:tabs>
          <w:tab w:val="clear" w:pos="360"/>
        </w:tabs>
        <w:ind w:left="567" w:hanging="567"/>
        <w:jc w:val="both"/>
        <w:rPr>
          <w:rFonts w:ascii="Tahoma" w:hAnsi="Tahoma" w:cs="Tahoma"/>
          <w:sz w:val="22"/>
          <w:szCs w:val="22"/>
        </w:rPr>
      </w:pPr>
      <w:r>
        <w:rPr>
          <w:rFonts w:ascii="Tahoma" w:hAnsi="Tahoma" w:cs="Tahoma"/>
          <w:sz w:val="22"/>
          <w:szCs w:val="22"/>
        </w:rPr>
        <w:t>Asimismo, en el ACTA I-ULOG-CO-0302-2010 de fecha 22 de enero del 2010, en la cual se consignó la evaluación económica de propuestas, se indicó lo siguiente:</w:t>
      </w:r>
    </w:p>
    <w:p w:rsidR="00003542" w:rsidRDefault="00003542" w:rsidP="00003542">
      <w:pPr>
        <w:ind w:left="567"/>
        <w:jc w:val="both"/>
        <w:rPr>
          <w:rFonts w:ascii="Tahoma" w:hAnsi="Tahoma" w:cs="Tahoma"/>
          <w:sz w:val="22"/>
          <w:szCs w:val="22"/>
        </w:rPr>
      </w:pPr>
    </w:p>
    <w:tbl>
      <w:tblPr>
        <w:tblStyle w:val="Tablaconcuadrcula"/>
        <w:tblW w:w="0" w:type="auto"/>
        <w:tblInd w:w="675" w:type="dxa"/>
        <w:tblLook w:val="04A0"/>
      </w:tblPr>
      <w:tblGrid>
        <w:gridCol w:w="4536"/>
        <w:gridCol w:w="1418"/>
        <w:gridCol w:w="1984"/>
      </w:tblGrid>
      <w:tr w:rsidR="00003542" w:rsidTr="00BB04EB">
        <w:tc>
          <w:tcPr>
            <w:tcW w:w="4536" w:type="dxa"/>
            <w:shd w:val="clear" w:color="auto" w:fill="7F7F7F" w:themeFill="text1" w:themeFillTint="80"/>
          </w:tcPr>
          <w:p w:rsidR="00003542" w:rsidRPr="00A9739B" w:rsidRDefault="00003542" w:rsidP="00BB04EB">
            <w:pPr>
              <w:jc w:val="center"/>
              <w:rPr>
                <w:rFonts w:ascii="Tahoma" w:hAnsi="Tahoma" w:cs="Tahoma"/>
                <w:sz w:val="16"/>
                <w:szCs w:val="16"/>
              </w:rPr>
            </w:pPr>
            <w:r w:rsidRPr="00A9739B">
              <w:rPr>
                <w:rFonts w:ascii="Tahoma" w:hAnsi="Tahoma" w:cs="Tahoma"/>
                <w:sz w:val="16"/>
                <w:szCs w:val="16"/>
              </w:rPr>
              <w:t>Postor</w:t>
            </w:r>
          </w:p>
        </w:tc>
        <w:tc>
          <w:tcPr>
            <w:tcW w:w="1418" w:type="dxa"/>
            <w:shd w:val="clear" w:color="auto" w:fill="7F7F7F" w:themeFill="text1" w:themeFillTint="80"/>
          </w:tcPr>
          <w:p w:rsidR="00003542" w:rsidRPr="00A9739B" w:rsidRDefault="00003542" w:rsidP="00BB04EB">
            <w:pPr>
              <w:jc w:val="center"/>
              <w:rPr>
                <w:rFonts w:ascii="Tahoma" w:hAnsi="Tahoma" w:cs="Tahoma"/>
                <w:sz w:val="16"/>
                <w:szCs w:val="16"/>
              </w:rPr>
            </w:pPr>
            <w:r w:rsidRPr="00A9739B">
              <w:rPr>
                <w:rFonts w:ascii="Tahoma" w:hAnsi="Tahoma" w:cs="Tahoma"/>
                <w:sz w:val="16"/>
                <w:szCs w:val="16"/>
              </w:rPr>
              <w:t>Oferta Económica US$</w:t>
            </w:r>
          </w:p>
        </w:tc>
        <w:tc>
          <w:tcPr>
            <w:tcW w:w="1984" w:type="dxa"/>
            <w:shd w:val="clear" w:color="auto" w:fill="7F7F7F" w:themeFill="text1" w:themeFillTint="80"/>
          </w:tcPr>
          <w:p w:rsidR="00003542" w:rsidRPr="00A9739B" w:rsidRDefault="00003542" w:rsidP="00BB04EB">
            <w:pPr>
              <w:jc w:val="center"/>
              <w:rPr>
                <w:rFonts w:ascii="Tahoma" w:hAnsi="Tahoma" w:cs="Tahoma"/>
                <w:sz w:val="16"/>
                <w:szCs w:val="16"/>
              </w:rPr>
            </w:pPr>
            <w:r w:rsidRPr="00A9739B">
              <w:rPr>
                <w:rFonts w:ascii="Tahoma" w:hAnsi="Tahoma" w:cs="Tahoma"/>
                <w:sz w:val="16"/>
                <w:szCs w:val="16"/>
              </w:rPr>
              <w:t>PUNTAJE EVALUACIÓN ECONÓMICA</w:t>
            </w:r>
          </w:p>
        </w:tc>
      </w:tr>
      <w:tr w:rsidR="00003542" w:rsidTr="00BB04EB">
        <w:tc>
          <w:tcPr>
            <w:tcW w:w="4536" w:type="dxa"/>
          </w:tcPr>
          <w:p w:rsidR="00003542" w:rsidRPr="00A9739B" w:rsidRDefault="00003542" w:rsidP="00BB04EB">
            <w:pPr>
              <w:jc w:val="both"/>
              <w:rPr>
                <w:rFonts w:ascii="Tahoma" w:hAnsi="Tahoma" w:cs="Tahoma"/>
                <w:sz w:val="16"/>
                <w:szCs w:val="16"/>
              </w:rPr>
            </w:pPr>
            <w:r w:rsidRPr="00A9739B">
              <w:rPr>
                <w:rFonts w:ascii="Tahoma" w:hAnsi="Tahoma" w:cs="Tahoma"/>
                <w:sz w:val="16"/>
                <w:szCs w:val="16"/>
              </w:rPr>
              <w:t>TERRAMAR INSPECTION &amp; TRADING SAC</w:t>
            </w:r>
          </w:p>
        </w:tc>
        <w:tc>
          <w:tcPr>
            <w:tcW w:w="1418" w:type="dxa"/>
          </w:tcPr>
          <w:p w:rsidR="00003542" w:rsidRPr="00A9739B" w:rsidRDefault="00003542" w:rsidP="00BB04EB">
            <w:pPr>
              <w:jc w:val="both"/>
              <w:rPr>
                <w:rFonts w:ascii="Tahoma" w:hAnsi="Tahoma" w:cs="Tahoma"/>
                <w:sz w:val="16"/>
                <w:szCs w:val="16"/>
              </w:rPr>
            </w:pPr>
            <w:r w:rsidRPr="00A9739B">
              <w:rPr>
                <w:rFonts w:ascii="Tahoma" w:hAnsi="Tahoma" w:cs="Tahoma"/>
                <w:sz w:val="16"/>
                <w:szCs w:val="16"/>
              </w:rPr>
              <w:t>11,376.40</w:t>
            </w:r>
          </w:p>
        </w:tc>
        <w:tc>
          <w:tcPr>
            <w:tcW w:w="1984" w:type="dxa"/>
          </w:tcPr>
          <w:p w:rsidR="00003542" w:rsidRPr="00A9739B" w:rsidRDefault="00003542" w:rsidP="00BB04EB">
            <w:pPr>
              <w:jc w:val="both"/>
              <w:rPr>
                <w:rFonts w:ascii="Tahoma" w:hAnsi="Tahoma" w:cs="Tahoma"/>
                <w:sz w:val="16"/>
                <w:szCs w:val="16"/>
              </w:rPr>
            </w:pPr>
            <w:r w:rsidRPr="00A9739B">
              <w:rPr>
                <w:rFonts w:ascii="Tahoma" w:hAnsi="Tahoma" w:cs="Tahoma"/>
                <w:sz w:val="16"/>
                <w:szCs w:val="16"/>
              </w:rPr>
              <w:t>100.000</w:t>
            </w:r>
          </w:p>
        </w:tc>
      </w:tr>
      <w:tr w:rsidR="00003542" w:rsidTr="00BB04EB">
        <w:tc>
          <w:tcPr>
            <w:tcW w:w="4536" w:type="dxa"/>
          </w:tcPr>
          <w:p w:rsidR="00003542" w:rsidRPr="00A9739B" w:rsidRDefault="00003542" w:rsidP="00BB04EB">
            <w:pPr>
              <w:jc w:val="both"/>
              <w:rPr>
                <w:rFonts w:ascii="Tahoma" w:hAnsi="Tahoma" w:cs="Tahoma"/>
                <w:sz w:val="16"/>
                <w:szCs w:val="16"/>
              </w:rPr>
            </w:pPr>
            <w:r w:rsidRPr="00A9739B">
              <w:rPr>
                <w:rFonts w:ascii="Tahoma" w:hAnsi="Tahoma" w:cs="Tahoma"/>
                <w:sz w:val="16"/>
                <w:szCs w:val="16"/>
              </w:rPr>
              <w:t>INSPECTRA S.A.</w:t>
            </w:r>
          </w:p>
        </w:tc>
        <w:tc>
          <w:tcPr>
            <w:tcW w:w="1418" w:type="dxa"/>
          </w:tcPr>
          <w:p w:rsidR="00003542" w:rsidRPr="00A9739B" w:rsidRDefault="00003542" w:rsidP="00BB04EB">
            <w:pPr>
              <w:jc w:val="both"/>
              <w:rPr>
                <w:rFonts w:ascii="Tahoma" w:hAnsi="Tahoma" w:cs="Tahoma"/>
                <w:sz w:val="16"/>
                <w:szCs w:val="16"/>
              </w:rPr>
            </w:pPr>
            <w:r w:rsidRPr="00A9739B">
              <w:rPr>
                <w:rFonts w:ascii="Tahoma" w:hAnsi="Tahoma" w:cs="Tahoma"/>
                <w:sz w:val="16"/>
                <w:szCs w:val="16"/>
              </w:rPr>
              <w:t>32,799.97</w:t>
            </w:r>
          </w:p>
        </w:tc>
        <w:tc>
          <w:tcPr>
            <w:tcW w:w="1984" w:type="dxa"/>
          </w:tcPr>
          <w:p w:rsidR="00003542" w:rsidRPr="00A9739B" w:rsidRDefault="00003542" w:rsidP="00BB04EB">
            <w:pPr>
              <w:jc w:val="both"/>
              <w:rPr>
                <w:rFonts w:ascii="Tahoma" w:hAnsi="Tahoma" w:cs="Tahoma"/>
                <w:sz w:val="16"/>
                <w:szCs w:val="16"/>
              </w:rPr>
            </w:pPr>
            <w:r w:rsidRPr="00A9739B">
              <w:rPr>
                <w:rFonts w:ascii="Tahoma" w:hAnsi="Tahoma" w:cs="Tahoma"/>
                <w:sz w:val="16"/>
                <w:szCs w:val="16"/>
              </w:rPr>
              <w:t>-88.32</w:t>
            </w:r>
          </w:p>
        </w:tc>
      </w:tr>
      <w:tr w:rsidR="00003542" w:rsidTr="00BB04EB">
        <w:tc>
          <w:tcPr>
            <w:tcW w:w="4536" w:type="dxa"/>
          </w:tcPr>
          <w:p w:rsidR="00003542" w:rsidRPr="00A9739B" w:rsidRDefault="00003542" w:rsidP="00BB04EB">
            <w:pPr>
              <w:jc w:val="both"/>
              <w:rPr>
                <w:rFonts w:ascii="Tahoma" w:hAnsi="Tahoma" w:cs="Tahoma"/>
                <w:sz w:val="16"/>
                <w:szCs w:val="16"/>
              </w:rPr>
            </w:pPr>
            <w:r w:rsidRPr="00A9739B">
              <w:rPr>
                <w:rFonts w:ascii="Tahoma" w:hAnsi="Tahoma" w:cs="Tahoma"/>
                <w:sz w:val="16"/>
                <w:szCs w:val="16"/>
              </w:rPr>
              <w:t>LIZANDRO ROSALES PUÑO</w:t>
            </w:r>
          </w:p>
        </w:tc>
        <w:tc>
          <w:tcPr>
            <w:tcW w:w="1418" w:type="dxa"/>
          </w:tcPr>
          <w:p w:rsidR="00003542" w:rsidRPr="00A9739B" w:rsidRDefault="00003542" w:rsidP="00BB04EB">
            <w:pPr>
              <w:jc w:val="both"/>
              <w:rPr>
                <w:rFonts w:ascii="Tahoma" w:hAnsi="Tahoma" w:cs="Tahoma"/>
                <w:sz w:val="16"/>
                <w:szCs w:val="16"/>
              </w:rPr>
            </w:pPr>
            <w:r w:rsidRPr="00A9739B">
              <w:rPr>
                <w:rFonts w:ascii="Tahoma" w:hAnsi="Tahoma" w:cs="Tahoma"/>
                <w:sz w:val="16"/>
                <w:szCs w:val="16"/>
              </w:rPr>
              <w:t>36,328.32</w:t>
            </w:r>
          </w:p>
        </w:tc>
        <w:tc>
          <w:tcPr>
            <w:tcW w:w="1984" w:type="dxa"/>
          </w:tcPr>
          <w:p w:rsidR="00003542" w:rsidRPr="00A9739B" w:rsidRDefault="00003542" w:rsidP="00BB04EB">
            <w:pPr>
              <w:jc w:val="both"/>
              <w:rPr>
                <w:rFonts w:ascii="Tahoma" w:hAnsi="Tahoma" w:cs="Tahoma"/>
                <w:sz w:val="16"/>
                <w:szCs w:val="16"/>
              </w:rPr>
            </w:pPr>
            <w:r w:rsidRPr="00A9739B">
              <w:rPr>
                <w:rFonts w:ascii="Tahoma" w:hAnsi="Tahoma" w:cs="Tahoma"/>
                <w:sz w:val="16"/>
                <w:szCs w:val="16"/>
              </w:rPr>
              <w:t>-119.33</w:t>
            </w:r>
          </w:p>
        </w:tc>
      </w:tr>
      <w:tr w:rsidR="00003542" w:rsidTr="00BB04EB">
        <w:tc>
          <w:tcPr>
            <w:tcW w:w="4536" w:type="dxa"/>
          </w:tcPr>
          <w:p w:rsidR="00003542" w:rsidRPr="00A9739B" w:rsidRDefault="00003542" w:rsidP="00BB04EB">
            <w:pPr>
              <w:jc w:val="both"/>
              <w:rPr>
                <w:rFonts w:ascii="Tahoma" w:hAnsi="Tahoma" w:cs="Tahoma"/>
                <w:sz w:val="16"/>
                <w:szCs w:val="16"/>
              </w:rPr>
            </w:pPr>
            <w:r w:rsidRPr="00A9739B">
              <w:rPr>
                <w:rFonts w:ascii="Tahoma" w:hAnsi="Tahoma" w:cs="Tahoma"/>
                <w:sz w:val="16"/>
                <w:szCs w:val="16"/>
              </w:rPr>
              <w:t>PROYECTOS PARA LA INDUSTRIA - PISA</w:t>
            </w:r>
          </w:p>
        </w:tc>
        <w:tc>
          <w:tcPr>
            <w:tcW w:w="1418" w:type="dxa"/>
          </w:tcPr>
          <w:p w:rsidR="00003542" w:rsidRPr="00A9739B" w:rsidRDefault="00003542" w:rsidP="00BB04EB">
            <w:pPr>
              <w:jc w:val="both"/>
              <w:rPr>
                <w:rFonts w:ascii="Tahoma" w:hAnsi="Tahoma" w:cs="Tahoma"/>
                <w:sz w:val="16"/>
                <w:szCs w:val="16"/>
              </w:rPr>
            </w:pPr>
            <w:r w:rsidRPr="00A9739B">
              <w:rPr>
                <w:rFonts w:ascii="Tahoma" w:hAnsi="Tahoma" w:cs="Tahoma"/>
                <w:sz w:val="16"/>
                <w:szCs w:val="16"/>
              </w:rPr>
              <w:t>45,815.00</w:t>
            </w:r>
          </w:p>
        </w:tc>
        <w:tc>
          <w:tcPr>
            <w:tcW w:w="1984" w:type="dxa"/>
          </w:tcPr>
          <w:p w:rsidR="00003542" w:rsidRPr="00A9739B" w:rsidRDefault="00003542" w:rsidP="00BB04EB">
            <w:pPr>
              <w:jc w:val="both"/>
              <w:rPr>
                <w:rFonts w:ascii="Tahoma" w:hAnsi="Tahoma" w:cs="Tahoma"/>
                <w:sz w:val="16"/>
                <w:szCs w:val="16"/>
              </w:rPr>
            </w:pPr>
            <w:r w:rsidRPr="00A9739B">
              <w:rPr>
                <w:rFonts w:ascii="Tahoma" w:hAnsi="Tahoma" w:cs="Tahoma"/>
                <w:sz w:val="16"/>
                <w:szCs w:val="16"/>
              </w:rPr>
              <w:t>-202.72</w:t>
            </w:r>
          </w:p>
        </w:tc>
      </w:tr>
    </w:tbl>
    <w:p w:rsidR="00003542" w:rsidRDefault="00003542" w:rsidP="00003542">
      <w:pPr>
        <w:ind w:left="567"/>
        <w:jc w:val="both"/>
        <w:rPr>
          <w:rFonts w:ascii="Tahoma" w:hAnsi="Tahoma" w:cs="Tahoma"/>
          <w:sz w:val="22"/>
          <w:szCs w:val="22"/>
        </w:rPr>
      </w:pPr>
    </w:p>
    <w:p w:rsidR="00003542" w:rsidRDefault="00003542" w:rsidP="00003542">
      <w:pPr>
        <w:numPr>
          <w:ilvl w:val="0"/>
          <w:numId w:val="17"/>
        </w:numPr>
        <w:tabs>
          <w:tab w:val="clear" w:pos="360"/>
        </w:tabs>
        <w:ind w:left="567" w:hanging="567"/>
        <w:jc w:val="both"/>
        <w:rPr>
          <w:rFonts w:ascii="Tahoma" w:hAnsi="Tahoma" w:cs="Tahoma"/>
          <w:sz w:val="22"/>
          <w:szCs w:val="22"/>
        </w:rPr>
      </w:pPr>
      <w:r>
        <w:rPr>
          <w:rFonts w:ascii="Tahoma" w:hAnsi="Tahoma" w:cs="Tahoma"/>
          <w:sz w:val="22"/>
          <w:szCs w:val="22"/>
        </w:rPr>
        <w:t>Por otra parte, mediante escrito TL-SPAD-ULOG-CO-021-2011 presentado el 16 de febrero del 2011 ante la Oficina Desconcentra de OSCE, ubicada en la ciudad de Piura, la Entidad remitió el INFORME DE MONTO ESTIMADO REFERENCIAL de fecha 23 de setiembre del 2009, en el cual se adjuntó, como ANEXO Nº 1, la comparación de las cotizaciones presentadas por las empresas INSPECTRA, PROYECTOS PARA LA INDUSTRIA, en la que se consignó lo siguiente:</w:t>
      </w:r>
    </w:p>
    <w:p w:rsidR="00003542" w:rsidRDefault="00003542" w:rsidP="00003542">
      <w:pPr>
        <w:ind w:left="567"/>
        <w:jc w:val="both"/>
        <w:rPr>
          <w:rFonts w:ascii="Tahoma" w:hAnsi="Tahoma" w:cs="Tahoma"/>
          <w:sz w:val="22"/>
          <w:szCs w:val="22"/>
        </w:rPr>
      </w:pPr>
    </w:p>
    <w:p w:rsidR="00003542" w:rsidRDefault="00003542" w:rsidP="00003542">
      <w:pPr>
        <w:ind w:left="567"/>
        <w:jc w:val="center"/>
        <w:rPr>
          <w:rFonts w:ascii="Tahoma" w:hAnsi="Tahoma" w:cs="Tahoma"/>
          <w:sz w:val="22"/>
          <w:szCs w:val="22"/>
        </w:rPr>
      </w:pPr>
      <w:r>
        <w:rPr>
          <w:rFonts w:ascii="Tahoma" w:hAnsi="Tahoma" w:cs="Tahoma"/>
          <w:noProof/>
          <w:sz w:val="22"/>
          <w:szCs w:val="22"/>
        </w:rPr>
        <w:lastRenderedPageBreak/>
        <w:drawing>
          <wp:inline distT="0" distB="0" distL="0" distR="0">
            <wp:extent cx="4316012" cy="4309607"/>
            <wp:effectExtent l="19050" t="0" r="8338" b="0"/>
            <wp:docPr id="2" name="Imagen 2" descr="C:\Documents and Settings\jtorrico\Escritorio\1160-2010 (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jtorrico\Escritorio\1160-2010 (02).jpg"/>
                    <pic:cNvPicPr>
                      <a:picLocks noChangeAspect="1" noChangeArrowheads="1"/>
                    </pic:cNvPicPr>
                  </pic:nvPicPr>
                  <pic:blipFill>
                    <a:blip r:embed="rId8"/>
                    <a:srcRect/>
                    <a:stretch>
                      <a:fillRect/>
                    </a:stretch>
                  </pic:blipFill>
                  <pic:spPr bwMode="auto">
                    <a:xfrm>
                      <a:off x="0" y="0"/>
                      <a:ext cx="4322761" cy="4316346"/>
                    </a:xfrm>
                    <a:prstGeom prst="rect">
                      <a:avLst/>
                    </a:prstGeom>
                    <a:noFill/>
                    <a:ln w="9525">
                      <a:noFill/>
                      <a:miter lim="800000"/>
                      <a:headEnd/>
                      <a:tailEnd/>
                    </a:ln>
                  </pic:spPr>
                </pic:pic>
              </a:graphicData>
            </a:graphic>
          </wp:inline>
        </w:drawing>
      </w:r>
    </w:p>
    <w:p w:rsidR="00003542" w:rsidRDefault="00003542" w:rsidP="00003542">
      <w:pPr>
        <w:ind w:left="567"/>
        <w:jc w:val="both"/>
        <w:rPr>
          <w:rFonts w:ascii="Tahoma" w:hAnsi="Tahoma" w:cs="Tahoma"/>
          <w:sz w:val="22"/>
          <w:szCs w:val="22"/>
        </w:rPr>
      </w:pPr>
    </w:p>
    <w:p w:rsidR="00003542" w:rsidRDefault="00003542" w:rsidP="00003542">
      <w:pPr>
        <w:numPr>
          <w:ilvl w:val="0"/>
          <w:numId w:val="17"/>
        </w:numPr>
        <w:tabs>
          <w:tab w:val="clear" w:pos="360"/>
        </w:tabs>
        <w:ind w:left="567" w:hanging="567"/>
        <w:jc w:val="both"/>
        <w:rPr>
          <w:rFonts w:ascii="Tahoma" w:hAnsi="Tahoma" w:cs="Tahoma"/>
          <w:sz w:val="22"/>
          <w:szCs w:val="22"/>
        </w:rPr>
      </w:pPr>
      <w:r>
        <w:rPr>
          <w:rFonts w:ascii="Tahoma" w:hAnsi="Tahoma" w:cs="Tahoma"/>
          <w:sz w:val="22"/>
          <w:szCs w:val="22"/>
        </w:rPr>
        <w:t>De lo señalado anteriormente, se puede advertir la notable diferencia que existe entre cada ítem del Presupuesto Detallado presentado en la propuesta económica del Postor y el cálculo realizado por la Entidad respecto a dichos ítems para determinar el valor referencial, tal como se puede observar en el siguiente cuadro</w:t>
      </w:r>
      <w:r w:rsidRPr="005A467A">
        <w:rPr>
          <w:rFonts w:ascii="Tahoma" w:hAnsi="Tahoma" w:cs="Tahoma"/>
          <w:sz w:val="22"/>
          <w:szCs w:val="22"/>
        </w:rPr>
        <w:t>:</w:t>
      </w:r>
    </w:p>
    <w:p w:rsidR="00003542" w:rsidRPr="00B42C8D" w:rsidRDefault="00003542" w:rsidP="00003542">
      <w:pPr>
        <w:ind w:left="567"/>
        <w:jc w:val="both"/>
        <w:rPr>
          <w:rFonts w:ascii="Tahoma" w:hAnsi="Tahoma" w:cs="Tahoma"/>
          <w:sz w:val="22"/>
          <w:szCs w:val="22"/>
        </w:rPr>
      </w:pPr>
    </w:p>
    <w:tbl>
      <w:tblPr>
        <w:tblStyle w:val="Tablaconcuadrcula"/>
        <w:tblW w:w="0" w:type="auto"/>
        <w:tblInd w:w="675" w:type="dxa"/>
        <w:tblLayout w:type="fixed"/>
        <w:tblLook w:val="04A0"/>
      </w:tblPr>
      <w:tblGrid>
        <w:gridCol w:w="993"/>
        <w:gridCol w:w="3543"/>
        <w:gridCol w:w="3402"/>
      </w:tblGrid>
      <w:tr w:rsidR="00003542" w:rsidRPr="005A467A" w:rsidTr="00BB04EB">
        <w:tc>
          <w:tcPr>
            <w:tcW w:w="993" w:type="dxa"/>
            <w:shd w:val="clear" w:color="auto" w:fill="7F7F7F" w:themeFill="text1" w:themeFillTint="80"/>
            <w:vAlign w:val="center"/>
          </w:tcPr>
          <w:p w:rsidR="00003542" w:rsidRPr="00B42C8D" w:rsidRDefault="00003542" w:rsidP="00BB04EB">
            <w:pPr>
              <w:jc w:val="center"/>
              <w:rPr>
                <w:rFonts w:ascii="Tahoma" w:hAnsi="Tahoma" w:cs="Tahoma"/>
                <w:sz w:val="18"/>
                <w:szCs w:val="18"/>
              </w:rPr>
            </w:pPr>
            <w:r>
              <w:rPr>
                <w:rFonts w:ascii="Tahoma" w:hAnsi="Tahoma" w:cs="Tahoma"/>
                <w:sz w:val="18"/>
                <w:szCs w:val="18"/>
              </w:rPr>
              <w:t>ITEM</w:t>
            </w:r>
          </w:p>
        </w:tc>
        <w:tc>
          <w:tcPr>
            <w:tcW w:w="3543" w:type="dxa"/>
            <w:shd w:val="clear" w:color="auto" w:fill="7F7F7F" w:themeFill="text1" w:themeFillTint="80"/>
            <w:vAlign w:val="center"/>
          </w:tcPr>
          <w:p w:rsidR="00003542" w:rsidRPr="000E775F" w:rsidRDefault="00003542" w:rsidP="00BB04EB">
            <w:pPr>
              <w:jc w:val="center"/>
              <w:rPr>
                <w:rFonts w:ascii="Tahoma" w:hAnsi="Tahoma" w:cs="Tahoma"/>
                <w:sz w:val="18"/>
                <w:szCs w:val="18"/>
              </w:rPr>
            </w:pPr>
            <w:r w:rsidRPr="000E775F">
              <w:rPr>
                <w:rFonts w:ascii="Tahoma" w:hAnsi="Tahoma" w:cs="Tahoma"/>
                <w:sz w:val="18"/>
                <w:szCs w:val="18"/>
              </w:rPr>
              <w:t>PROPUESTA ECONÓMICA PRESENTADA POR EL POSTOR</w:t>
            </w:r>
          </w:p>
        </w:tc>
        <w:tc>
          <w:tcPr>
            <w:tcW w:w="3402" w:type="dxa"/>
            <w:shd w:val="clear" w:color="auto" w:fill="7F7F7F" w:themeFill="text1" w:themeFillTint="80"/>
            <w:vAlign w:val="center"/>
          </w:tcPr>
          <w:p w:rsidR="00003542" w:rsidRPr="000E775F" w:rsidRDefault="00003542" w:rsidP="00BB04EB">
            <w:pPr>
              <w:jc w:val="center"/>
              <w:rPr>
                <w:rFonts w:ascii="Tahoma" w:hAnsi="Tahoma" w:cs="Tahoma"/>
                <w:sz w:val="18"/>
                <w:szCs w:val="18"/>
              </w:rPr>
            </w:pPr>
            <w:r>
              <w:rPr>
                <w:rFonts w:ascii="Tahoma" w:hAnsi="Tahoma" w:cs="Tahoma"/>
                <w:sz w:val="18"/>
                <w:szCs w:val="18"/>
              </w:rPr>
              <w:t>VALOR REFERENCIAL ESTIMADO</w:t>
            </w:r>
          </w:p>
        </w:tc>
      </w:tr>
      <w:tr w:rsidR="00003542" w:rsidTr="00BB04EB">
        <w:tc>
          <w:tcPr>
            <w:tcW w:w="993"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1</w:t>
            </w:r>
          </w:p>
        </w:tc>
        <w:tc>
          <w:tcPr>
            <w:tcW w:w="3543"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2,390.00</w:t>
            </w:r>
          </w:p>
        </w:tc>
        <w:tc>
          <w:tcPr>
            <w:tcW w:w="3402"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10,419.12</w:t>
            </w:r>
          </w:p>
        </w:tc>
      </w:tr>
      <w:tr w:rsidR="00003542" w:rsidTr="00BB04EB">
        <w:tc>
          <w:tcPr>
            <w:tcW w:w="993"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2</w:t>
            </w:r>
          </w:p>
        </w:tc>
        <w:tc>
          <w:tcPr>
            <w:tcW w:w="3543"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2,390.00</w:t>
            </w:r>
          </w:p>
        </w:tc>
        <w:tc>
          <w:tcPr>
            <w:tcW w:w="3402"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10,419.12</w:t>
            </w:r>
          </w:p>
        </w:tc>
      </w:tr>
      <w:tr w:rsidR="00003542" w:rsidTr="00BB04EB">
        <w:tc>
          <w:tcPr>
            <w:tcW w:w="993"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3</w:t>
            </w:r>
          </w:p>
        </w:tc>
        <w:tc>
          <w:tcPr>
            <w:tcW w:w="3543"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3,824.00</w:t>
            </w:r>
          </w:p>
        </w:tc>
        <w:tc>
          <w:tcPr>
            <w:tcW w:w="3402"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16,670.59</w:t>
            </w:r>
          </w:p>
        </w:tc>
      </w:tr>
      <w:tr w:rsidR="00003542" w:rsidTr="00BB04EB">
        <w:tc>
          <w:tcPr>
            <w:tcW w:w="993"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4</w:t>
            </w:r>
          </w:p>
        </w:tc>
        <w:tc>
          <w:tcPr>
            <w:tcW w:w="3543"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956.00</w:t>
            </w:r>
          </w:p>
        </w:tc>
        <w:tc>
          <w:tcPr>
            <w:tcW w:w="3402"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4,167.65</w:t>
            </w:r>
          </w:p>
        </w:tc>
      </w:tr>
      <w:tr w:rsidR="00003542" w:rsidTr="00BB04EB">
        <w:tc>
          <w:tcPr>
            <w:tcW w:w="993"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SUB TOTAL (USS$)</w:t>
            </w:r>
          </w:p>
        </w:tc>
        <w:tc>
          <w:tcPr>
            <w:tcW w:w="3543"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9,560.00</w:t>
            </w:r>
          </w:p>
        </w:tc>
        <w:tc>
          <w:tcPr>
            <w:tcW w:w="3402"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41,676.47</w:t>
            </w:r>
          </w:p>
        </w:tc>
      </w:tr>
      <w:tr w:rsidR="00003542" w:rsidTr="00BB04EB">
        <w:tc>
          <w:tcPr>
            <w:tcW w:w="993"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IGV (19%)</w:t>
            </w:r>
          </w:p>
        </w:tc>
        <w:tc>
          <w:tcPr>
            <w:tcW w:w="3543"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1,816.40</w:t>
            </w:r>
          </w:p>
        </w:tc>
        <w:tc>
          <w:tcPr>
            <w:tcW w:w="3402"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7,918.53</w:t>
            </w:r>
          </w:p>
        </w:tc>
      </w:tr>
      <w:tr w:rsidR="00003542" w:rsidTr="00BB04EB">
        <w:tc>
          <w:tcPr>
            <w:tcW w:w="993"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TOTAL GENERAL</w:t>
            </w:r>
          </w:p>
        </w:tc>
        <w:tc>
          <w:tcPr>
            <w:tcW w:w="3543"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11,376.40</w:t>
            </w:r>
          </w:p>
        </w:tc>
        <w:tc>
          <w:tcPr>
            <w:tcW w:w="3402" w:type="dxa"/>
            <w:vAlign w:val="center"/>
          </w:tcPr>
          <w:p w:rsidR="00003542" w:rsidRPr="000E775F" w:rsidRDefault="00003542" w:rsidP="00BB04EB">
            <w:pPr>
              <w:jc w:val="center"/>
              <w:rPr>
                <w:rFonts w:ascii="Tahoma" w:hAnsi="Tahoma" w:cs="Tahoma"/>
                <w:sz w:val="18"/>
                <w:szCs w:val="18"/>
                <w:lang w:val="en-US"/>
              </w:rPr>
            </w:pPr>
            <w:r w:rsidRPr="000E775F">
              <w:rPr>
                <w:rFonts w:ascii="Tahoma" w:hAnsi="Tahoma" w:cs="Tahoma"/>
                <w:sz w:val="18"/>
                <w:szCs w:val="18"/>
                <w:lang w:val="en-US"/>
              </w:rPr>
              <w:t>49,595.00</w:t>
            </w:r>
          </w:p>
        </w:tc>
      </w:tr>
    </w:tbl>
    <w:p w:rsidR="00003542" w:rsidRDefault="00003542" w:rsidP="00003542">
      <w:pPr>
        <w:ind w:left="567"/>
        <w:jc w:val="both"/>
        <w:rPr>
          <w:rFonts w:ascii="Tahoma" w:hAnsi="Tahoma" w:cs="Tahoma"/>
          <w:sz w:val="22"/>
          <w:szCs w:val="22"/>
          <w:lang w:val="en-US"/>
        </w:rPr>
      </w:pPr>
    </w:p>
    <w:p w:rsidR="00003542" w:rsidRPr="00EC0B95" w:rsidRDefault="00003542" w:rsidP="00003542">
      <w:pPr>
        <w:numPr>
          <w:ilvl w:val="0"/>
          <w:numId w:val="17"/>
        </w:numPr>
        <w:tabs>
          <w:tab w:val="clear" w:pos="360"/>
        </w:tabs>
        <w:ind w:left="567" w:hanging="567"/>
        <w:jc w:val="both"/>
        <w:rPr>
          <w:rFonts w:ascii="Tahoma" w:hAnsi="Tahoma" w:cs="Tahoma"/>
          <w:sz w:val="22"/>
          <w:szCs w:val="22"/>
        </w:rPr>
      </w:pPr>
      <w:r w:rsidRPr="00EC0B95">
        <w:rPr>
          <w:rFonts w:ascii="Tahoma" w:hAnsi="Tahoma" w:cs="Tahoma"/>
          <w:sz w:val="22"/>
          <w:szCs w:val="22"/>
        </w:rPr>
        <w:lastRenderedPageBreak/>
        <w:t xml:space="preserve">Asimismo, se debe advertir que el monto total de la propuesta económica del Postor ascendía a US$ 11,376.40 (Once mil trescientos setenta y seis con 40/100 Dólares Americanos) mientras que el monto de la propuesta económica más baja que le seguía era de la empresa INSPECTRA S.A., cuyo monto total ascendía a US$ 32,799.97, es decir </w:t>
      </w:r>
      <w:r>
        <w:rPr>
          <w:rFonts w:ascii="Tahoma" w:hAnsi="Tahoma" w:cs="Tahoma"/>
          <w:sz w:val="22"/>
          <w:szCs w:val="22"/>
        </w:rPr>
        <w:t>dos veces</w:t>
      </w:r>
      <w:r w:rsidRPr="00EC0B95">
        <w:rPr>
          <w:rFonts w:ascii="Tahoma" w:hAnsi="Tahoma" w:cs="Tahoma"/>
          <w:sz w:val="22"/>
          <w:szCs w:val="22"/>
        </w:rPr>
        <w:t xml:space="preserve"> mayor a la propuesta que ofertó el Postor.</w:t>
      </w:r>
    </w:p>
    <w:p w:rsidR="00003542" w:rsidRDefault="00003542" w:rsidP="00003542">
      <w:pPr>
        <w:ind w:left="567"/>
        <w:jc w:val="both"/>
        <w:rPr>
          <w:rFonts w:ascii="Tahoma" w:hAnsi="Tahoma" w:cs="Tahoma"/>
          <w:sz w:val="22"/>
          <w:szCs w:val="22"/>
        </w:rPr>
      </w:pPr>
    </w:p>
    <w:p w:rsidR="00003542" w:rsidRPr="008542C8" w:rsidRDefault="00003542" w:rsidP="00003542">
      <w:pPr>
        <w:numPr>
          <w:ilvl w:val="0"/>
          <w:numId w:val="17"/>
        </w:numPr>
        <w:tabs>
          <w:tab w:val="clear" w:pos="360"/>
        </w:tabs>
        <w:ind w:left="567" w:hanging="567"/>
        <w:jc w:val="both"/>
        <w:rPr>
          <w:rFonts w:ascii="Tahoma" w:hAnsi="Tahoma" w:cs="Tahoma"/>
          <w:sz w:val="22"/>
          <w:szCs w:val="22"/>
        </w:rPr>
      </w:pPr>
      <w:r>
        <w:rPr>
          <w:rFonts w:ascii="Tahoma" w:hAnsi="Tahoma" w:cs="Tahoma"/>
          <w:sz w:val="22"/>
          <w:szCs w:val="22"/>
        </w:rPr>
        <w:t>De</w:t>
      </w:r>
      <w:r w:rsidRPr="00C81971">
        <w:rPr>
          <w:rFonts w:ascii="Tahoma" w:hAnsi="Tahoma" w:cs="Tahoma"/>
          <w:sz w:val="22"/>
          <w:szCs w:val="22"/>
        </w:rPr>
        <w:t xml:space="preserve"> lo </w:t>
      </w:r>
      <w:r>
        <w:rPr>
          <w:rFonts w:ascii="Tahoma" w:hAnsi="Tahoma" w:cs="Tahoma"/>
          <w:sz w:val="22"/>
          <w:szCs w:val="22"/>
        </w:rPr>
        <w:t>anterior</w:t>
      </w:r>
      <w:r w:rsidRPr="00C81971">
        <w:rPr>
          <w:rFonts w:ascii="Tahoma" w:hAnsi="Tahoma" w:cs="Tahoma"/>
          <w:sz w:val="22"/>
          <w:szCs w:val="22"/>
        </w:rPr>
        <w:t>, se ha podido verificar que el precio señalado en la propuesta económica del Postor</w:t>
      </w:r>
      <w:r>
        <w:rPr>
          <w:rFonts w:ascii="Tahoma" w:hAnsi="Tahoma" w:cs="Tahoma"/>
          <w:sz w:val="22"/>
          <w:szCs w:val="22"/>
        </w:rPr>
        <w:t xml:space="preserve"> consignó</w:t>
      </w:r>
      <w:r w:rsidRPr="00C81971">
        <w:rPr>
          <w:rFonts w:ascii="Tahoma" w:hAnsi="Tahoma" w:cs="Tahoma"/>
          <w:sz w:val="22"/>
          <w:szCs w:val="22"/>
        </w:rPr>
        <w:t xml:space="preserve"> un monto ascendente a US$ 11,376.40 que difiere ostensiblemente del valor referencial </w:t>
      </w:r>
      <w:r>
        <w:rPr>
          <w:rFonts w:ascii="Tahoma" w:hAnsi="Tahoma" w:cs="Tahoma"/>
          <w:sz w:val="22"/>
          <w:szCs w:val="22"/>
        </w:rPr>
        <w:t xml:space="preserve">estimado </w:t>
      </w:r>
      <w:r w:rsidRPr="00C81971">
        <w:rPr>
          <w:rFonts w:ascii="Tahoma" w:hAnsi="Tahoma" w:cs="Tahoma"/>
          <w:sz w:val="22"/>
          <w:szCs w:val="22"/>
        </w:rPr>
        <w:t xml:space="preserve">ascendente a </w:t>
      </w:r>
      <w:r>
        <w:rPr>
          <w:rFonts w:ascii="Tahoma" w:hAnsi="Tahoma" w:cs="Tahoma"/>
          <w:sz w:val="22"/>
          <w:szCs w:val="22"/>
        </w:rPr>
        <w:t xml:space="preserve">US$ </w:t>
      </w:r>
      <w:r w:rsidRPr="00C81971">
        <w:rPr>
          <w:rFonts w:ascii="Tahoma" w:hAnsi="Tahoma" w:cs="Tahoma"/>
          <w:sz w:val="22"/>
          <w:szCs w:val="22"/>
        </w:rPr>
        <w:t>49,595.00</w:t>
      </w:r>
      <w:r>
        <w:rPr>
          <w:rFonts w:ascii="Tahoma" w:hAnsi="Tahoma" w:cs="Tahoma"/>
          <w:sz w:val="22"/>
          <w:szCs w:val="22"/>
        </w:rPr>
        <w:t xml:space="preserve"> y de la propuesta económica más baja que le seguía, la misma que ascendía a </w:t>
      </w:r>
      <w:r w:rsidRPr="00EC0B95">
        <w:rPr>
          <w:rFonts w:ascii="Tahoma" w:hAnsi="Tahoma" w:cs="Tahoma"/>
          <w:sz w:val="22"/>
          <w:szCs w:val="22"/>
        </w:rPr>
        <w:t>US$ 32,799.97</w:t>
      </w:r>
      <w:r>
        <w:rPr>
          <w:rFonts w:ascii="Tahoma" w:hAnsi="Tahoma" w:cs="Tahoma"/>
          <w:sz w:val="22"/>
          <w:szCs w:val="22"/>
        </w:rPr>
        <w:t xml:space="preserve">, por lo tanto, se puede advertir que efectivamente el Postor cometió error al momento de elaborar su propuesta económica, debiendo tenerse en cuenta el </w:t>
      </w:r>
      <w:r w:rsidRPr="00606480">
        <w:rPr>
          <w:rFonts w:ascii="Tahoma" w:hAnsi="Tahoma" w:cs="Tahoma"/>
        </w:rPr>
        <w:t xml:space="preserve">principio de equidad recogido en el inciso l) del artículo 4 de la Ley, </w:t>
      </w:r>
      <w:r>
        <w:rPr>
          <w:rFonts w:ascii="Tahoma" w:hAnsi="Tahoma" w:cs="Tahoma"/>
        </w:rPr>
        <w:t xml:space="preserve">la misma que establece que </w:t>
      </w:r>
      <w:r w:rsidRPr="00606480">
        <w:rPr>
          <w:rFonts w:ascii="Tahoma" w:hAnsi="Tahoma" w:cs="Tahoma"/>
        </w:rPr>
        <w:t>las prestaciones y derechos de las partes deben guardar una razonable relación de equivalencia y proporcionalidad, sin perjuicio de las facultades que corresponden al Estado en la gestión del interés general</w:t>
      </w:r>
      <w:r>
        <w:rPr>
          <w:rFonts w:ascii="Tahoma" w:hAnsi="Tahoma" w:cs="Tahoma"/>
        </w:rPr>
        <w:t>.</w:t>
      </w:r>
    </w:p>
    <w:p w:rsidR="00003542" w:rsidRDefault="00003542" w:rsidP="00003542">
      <w:pPr>
        <w:pStyle w:val="Prrafodelista"/>
        <w:rPr>
          <w:rFonts w:ascii="Tahoma" w:hAnsi="Tahoma" w:cs="Tahoma"/>
          <w:sz w:val="22"/>
          <w:szCs w:val="22"/>
        </w:rPr>
      </w:pPr>
    </w:p>
    <w:p w:rsidR="00003542" w:rsidRPr="008542C8" w:rsidRDefault="00003542" w:rsidP="00003542">
      <w:pPr>
        <w:numPr>
          <w:ilvl w:val="0"/>
          <w:numId w:val="17"/>
        </w:numPr>
        <w:tabs>
          <w:tab w:val="clear" w:pos="360"/>
        </w:tabs>
        <w:ind w:left="567" w:hanging="567"/>
        <w:jc w:val="both"/>
        <w:rPr>
          <w:rFonts w:ascii="Tahoma" w:hAnsi="Tahoma" w:cs="Tahoma"/>
          <w:sz w:val="22"/>
          <w:szCs w:val="22"/>
        </w:rPr>
      </w:pPr>
      <w:r>
        <w:rPr>
          <w:rFonts w:ascii="Tahoma" w:hAnsi="Tahoma" w:cs="Tahoma"/>
          <w:sz w:val="22"/>
          <w:szCs w:val="22"/>
        </w:rPr>
        <w:t xml:space="preserve">En efecto, </w:t>
      </w:r>
      <w:r>
        <w:rPr>
          <w:rFonts w:ascii="Tahoma" w:hAnsi="Tahoma" w:cs="Tahoma"/>
        </w:rPr>
        <w:t>cabe precisar que el</w:t>
      </w:r>
      <w:r w:rsidRPr="008542C8">
        <w:rPr>
          <w:rFonts w:ascii="Tahoma" w:hAnsi="Tahoma" w:cs="Tahoma"/>
        </w:rPr>
        <w:t xml:space="preserve"> Estado actúa sobre criterios de buena fe y en el entendido que en la contratación e</w:t>
      </w:r>
      <w:r>
        <w:rPr>
          <w:rFonts w:ascii="Tahoma" w:hAnsi="Tahoma" w:cs="Tahoma"/>
        </w:rPr>
        <w:t>n general, las dos partes buscan</w:t>
      </w:r>
      <w:r w:rsidRPr="008542C8">
        <w:rPr>
          <w:rFonts w:ascii="Tahoma" w:hAnsi="Tahoma" w:cs="Tahoma"/>
        </w:rPr>
        <w:t xml:space="preserve"> salir beneficiadas al establecer una re</w:t>
      </w:r>
      <w:r>
        <w:rPr>
          <w:rFonts w:ascii="Tahoma" w:hAnsi="Tahoma" w:cs="Tahoma"/>
        </w:rPr>
        <w:t>lación contractual, ambas</w:t>
      </w:r>
      <w:r w:rsidRPr="008542C8">
        <w:rPr>
          <w:rFonts w:ascii="Tahoma" w:hAnsi="Tahoma" w:cs="Tahoma"/>
        </w:rPr>
        <w:t xml:space="preserve"> deben guardar un equilibrio </w:t>
      </w:r>
      <w:r>
        <w:rPr>
          <w:rFonts w:ascii="Tahoma" w:hAnsi="Tahoma" w:cs="Tahoma"/>
        </w:rPr>
        <w:t xml:space="preserve">respecto de la ecuación económica </w:t>
      </w:r>
      <w:r w:rsidRPr="008542C8">
        <w:rPr>
          <w:rFonts w:ascii="Tahoma" w:hAnsi="Tahoma" w:cs="Tahoma"/>
        </w:rPr>
        <w:t>entre sus obligaciones y derechos de tal modo que exista un equilibrio económico financiero.</w:t>
      </w:r>
    </w:p>
    <w:p w:rsidR="00003542" w:rsidRDefault="00003542" w:rsidP="00003542">
      <w:pPr>
        <w:pStyle w:val="Prrafodelista"/>
        <w:rPr>
          <w:rFonts w:ascii="Tahoma" w:hAnsi="Tahoma" w:cs="Tahoma"/>
          <w:sz w:val="22"/>
          <w:szCs w:val="22"/>
        </w:rPr>
      </w:pPr>
    </w:p>
    <w:p w:rsidR="00003542" w:rsidRPr="00695D90" w:rsidRDefault="00003542" w:rsidP="00003542">
      <w:pPr>
        <w:numPr>
          <w:ilvl w:val="0"/>
          <w:numId w:val="17"/>
        </w:numPr>
        <w:tabs>
          <w:tab w:val="clear" w:pos="360"/>
        </w:tabs>
        <w:ind w:left="567" w:hanging="567"/>
        <w:jc w:val="both"/>
        <w:rPr>
          <w:rFonts w:ascii="Tahoma" w:hAnsi="Tahoma" w:cs="Tahoma"/>
          <w:sz w:val="22"/>
          <w:szCs w:val="22"/>
        </w:rPr>
      </w:pPr>
      <w:r w:rsidRPr="008542C8">
        <w:rPr>
          <w:rFonts w:ascii="Tahoma" w:hAnsi="Tahoma" w:cs="Tahoma"/>
        </w:rPr>
        <w:t xml:space="preserve">Es así que el Estado no busca salir favorecido desde su posición y prerrogativas a expensas de los errores de los postores o administrados, sino que busca una relación que implique beneficios para ambos, y no el aprovechamiento de una relación contractual que nace bajo un vicio en la declaración </w:t>
      </w:r>
      <w:r>
        <w:rPr>
          <w:rFonts w:ascii="Tahoma" w:hAnsi="Tahoma" w:cs="Tahoma"/>
        </w:rPr>
        <w:t>de voluntad del Postor,</w:t>
      </w:r>
      <w:r w:rsidRPr="008542C8">
        <w:rPr>
          <w:rFonts w:ascii="Tahoma" w:hAnsi="Tahoma" w:cs="Tahoma"/>
        </w:rPr>
        <w:t xml:space="preserve"> </w:t>
      </w:r>
      <w:r>
        <w:rPr>
          <w:rFonts w:ascii="Tahoma" w:hAnsi="Tahoma" w:cs="Tahoma"/>
        </w:rPr>
        <w:t xml:space="preserve">que </w:t>
      </w:r>
      <w:r w:rsidRPr="008542C8">
        <w:rPr>
          <w:rFonts w:ascii="Tahoma" w:hAnsi="Tahoma" w:cs="Tahoma"/>
        </w:rPr>
        <w:t>e</w:t>
      </w:r>
      <w:r>
        <w:rPr>
          <w:rFonts w:ascii="Tahoma" w:hAnsi="Tahoma" w:cs="Tahoma"/>
        </w:rPr>
        <w:t>n este caso específico, el desequilibrio es</w:t>
      </w:r>
      <w:r w:rsidRPr="008542C8">
        <w:rPr>
          <w:rFonts w:ascii="Tahoma" w:hAnsi="Tahoma" w:cs="Tahoma"/>
        </w:rPr>
        <w:t xml:space="preserve"> evidente.</w:t>
      </w:r>
    </w:p>
    <w:p w:rsidR="00003542" w:rsidRDefault="00003542" w:rsidP="00003542">
      <w:pPr>
        <w:pStyle w:val="Prrafodelista"/>
        <w:rPr>
          <w:rFonts w:ascii="Tahoma" w:hAnsi="Tahoma" w:cs="Tahoma"/>
          <w:sz w:val="22"/>
          <w:szCs w:val="22"/>
        </w:rPr>
      </w:pPr>
    </w:p>
    <w:p w:rsidR="00003542" w:rsidRPr="00E01B1E" w:rsidRDefault="00003542" w:rsidP="00003542">
      <w:pPr>
        <w:numPr>
          <w:ilvl w:val="0"/>
          <w:numId w:val="17"/>
        </w:numPr>
        <w:tabs>
          <w:tab w:val="clear" w:pos="360"/>
        </w:tabs>
        <w:ind w:left="567" w:hanging="567"/>
        <w:jc w:val="both"/>
        <w:rPr>
          <w:rFonts w:ascii="Tahoma" w:hAnsi="Tahoma" w:cs="Tahoma"/>
          <w:sz w:val="22"/>
          <w:szCs w:val="22"/>
        </w:rPr>
      </w:pPr>
      <w:r w:rsidRPr="00695D90">
        <w:rPr>
          <w:rFonts w:ascii="Tahoma" w:hAnsi="Tahoma" w:cs="Tahoma"/>
        </w:rPr>
        <w:t>En este sentido</w:t>
      </w:r>
      <w:r>
        <w:rPr>
          <w:rFonts w:ascii="Tahoma" w:hAnsi="Tahoma" w:cs="Tahoma"/>
        </w:rPr>
        <w:t>, existiendo</w:t>
      </w:r>
      <w:r w:rsidRPr="00695D90">
        <w:rPr>
          <w:rFonts w:ascii="Tahoma" w:hAnsi="Tahoma" w:cs="Tahoma"/>
        </w:rPr>
        <w:t xml:space="preserve"> de</w:t>
      </w:r>
      <w:r>
        <w:rPr>
          <w:rFonts w:ascii="Tahoma" w:hAnsi="Tahoma" w:cs="Tahoma"/>
        </w:rPr>
        <w:t>sequilibrio y</w:t>
      </w:r>
      <w:r w:rsidRPr="00695D90">
        <w:rPr>
          <w:rFonts w:ascii="Tahoma" w:hAnsi="Tahoma" w:cs="Tahoma"/>
        </w:rPr>
        <w:t xml:space="preserve"> desigualdad, la Entidad no puede obligar a un administrado a firmar contrato</w:t>
      </w:r>
      <w:r>
        <w:rPr>
          <w:rFonts w:ascii="Tahoma" w:hAnsi="Tahoma" w:cs="Tahoma"/>
        </w:rPr>
        <w:t xml:space="preserve"> y a mantener su oferta</w:t>
      </w:r>
      <w:r w:rsidRPr="00695D90">
        <w:rPr>
          <w:rFonts w:ascii="Tahoma" w:hAnsi="Tahoma" w:cs="Tahoma"/>
        </w:rPr>
        <w:t xml:space="preserve"> bajo estas condiciones, pues eso implicaría un abuso del derecho, situación bajo la cual el titular de un derecho dirige contra la otra parte una exigencia que concuerda con la norma legal, pero que su ejercicio lesiona la buena fe y los fines sociales y económicos del Derecho.</w:t>
      </w:r>
    </w:p>
    <w:p w:rsidR="00003542" w:rsidRPr="00DD7E5D" w:rsidRDefault="00003542" w:rsidP="00003542">
      <w:pPr>
        <w:pStyle w:val="Prrafodelista"/>
        <w:rPr>
          <w:rFonts w:ascii="Tahoma" w:hAnsi="Tahoma" w:cs="Tahoma"/>
          <w:sz w:val="22"/>
          <w:szCs w:val="22"/>
        </w:rPr>
      </w:pPr>
    </w:p>
    <w:p w:rsidR="00003542" w:rsidRPr="00DD7E5D" w:rsidRDefault="00003542" w:rsidP="00003542">
      <w:pPr>
        <w:numPr>
          <w:ilvl w:val="0"/>
          <w:numId w:val="17"/>
        </w:numPr>
        <w:tabs>
          <w:tab w:val="clear" w:pos="360"/>
        </w:tabs>
        <w:ind w:left="567" w:hanging="567"/>
        <w:jc w:val="both"/>
        <w:rPr>
          <w:rFonts w:ascii="Tahoma" w:hAnsi="Tahoma" w:cs="Tahoma"/>
          <w:sz w:val="22"/>
          <w:szCs w:val="22"/>
        </w:rPr>
      </w:pPr>
      <w:r w:rsidRPr="00DD7E5D">
        <w:rPr>
          <w:rFonts w:ascii="Tahoma" w:hAnsi="Tahoma" w:cs="Tahoma"/>
          <w:sz w:val="22"/>
          <w:szCs w:val="22"/>
        </w:rPr>
        <w:t xml:space="preserve">Sin perjuicio de lo señalado anteriormente, la conducta en la que incurrió el Postor es de su exclusiva responsabilidad, por lo tanto queda expedito </w:t>
      </w:r>
      <w:r>
        <w:rPr>
          <w:rFonts w:ascii="Tahoma" w:hAnsi="Tahoma" w:cs="Tahoma"/>
          <w:sz w:val="22"/>
          <w:szCs w:val="22"/>
        </w:rPr>
        <w:t xml:space="preserve">el derecho </w:t>
      </w:r>
      <w:r w:rsidRPr="00DD7E5D">
        <w:rPr>
          <w:rFonts w:ascii="Tahoma" w:hAnsi="Tahoma" w:cs="Tahoma"/>
          <w:sz w:val="22"/>
          <w:szCs w:val="22"/>
        </w:rPr>
        <w:lastRenderedPageBreak/>
        <w:t xml:space="preserve">de la Entidad </w:t>
      </w:r>
      <w:r>
        <w:rPr>
          <w:rFonts w:ascii="Tahoma" w:hAnsi="Tahoma" w:cs="Tahoma"/>
          <w:sz w:val="22"/>
          <w:szCs w:val="22"/>
        </w:rPr>
        <w:t xml:space="preserve">a </w:t>
      </w:r>
      <w:r w:rsidRPr="00DD7E5D">
        <w:rPr>
          <w:rFonts w:ascii="Tahoma" w:hAnsi="Tahoma" w:cs="Tahoma"/>
          <w:sz w:val="22"/>
          <w:szCs w:val="22"/>
        </w:rPr>
        <w:t>realizar las acciones que correspondan, según lo dispuesto en la normativa de contrataciones.</w:t>
      </w:r>
    </w:p>
    <w:p w:rsidR="00003542" w:rsidRPr="00864326" w:rsidRDefault="00003542" w:rsidP="00003542">
      <w:pPr>
        <w:jc w:val="both"/>
        <w:rPr>
          <w:rFonts w:ascii="Tahoma" w:hAnsi="Tahoma" w:cs="Tahoma"/>
          <w:sz w:val="22"/>
          <w:szCs w:val="22"/>
        </w:rPr>
      </w:pPr>
    </w:p>
    <w:p w:rsidR="00003542" w:rsidRPr="00864326" w:rsidRDefault="00003542" w:rsidP="00003542">
      <w:pPr>
        <w:ind w:firstLine="567"/>
        <w:jc w:val="both"/>
        <w:rPr>
          <w:rFonts w:ascii="Tahoma" w:eastAsiaTheme="minorHAnsi" w:hAnsi="Tahoma" w:cs="Tahoma"/>
          <w:color w:val="000000"/>
          <w:sz w:val="22"/>
          <w:szCs w:val="22"/>
        </w:rPr>
      </w:pPr>
      <w:r w:rsidRPr="00864326">
        <w:rPr>
          <w:rFonts w:ascii="Tahoma" w:hAnsi="Tahoma" w:cs="Tahoma"/>
          <w:sz w:val="22"/>
          <w:szCs w:val="22"/>
        </w:rPr>
        <w:t xml:space="preserve">Por estos fundamentos, </w:t>
      </w:r>
      <w:r w:rsidRPr="00864326">
        <w:rPr>
          <w:rFonts w:ascii="Tahoma" w:hAnsi="Tahoma" w:cs="Tahoma"/>
          <w:color w:val="000000"/>
          <w:sz w:val="22"/>
          <w:szCs w:val="22"/>
        </w:rPr>
        <w:t>de conformidad con el inf</w:t>
      </w:r>
      <w:r w:rsidRPr="00864326">
        <w:rPr>
          <w:rFonts w:ascii="Tahoma" w:eastAsia="Calibri" w:hAnsi="Tahoma" w:cs="Tahoma"/>
          <w:color w:val="000000"/>
          <w:sz w:val="22"/>
          <w:szCs w:val="22"/>
        </w:rPr>
        <w:t xml:space="preserve">orme de la Vocal Ponente Dra. Ada Rosa Basulto Liewald y la intervención de los Señores Vocales </w:t>
      </w:r>
      <w:r w:rsidRPr="00864326">
        <w:rPr>
          <w:rFonts w:ascii="Tahoma" w:eastAsiaTheme="minorHAnsi" w:hAnsi="Tahoma" w:cs="Tahoma"/>
          <w:color w:val="000000"/>
          <w:sz w:val="22"/>
          <w:szCs w:val="22"/>
        </w:rPr>
        <w:t xml:space="preserve">Dr. Carlos Vicente Navas Rondón y </w:t>
      </w:r>
      <w:r w:rsidRPr="00864326">
        <w:rPr>
          <w:rFonts w:ascii="Tahoma" w:eastAsia="Calibri" w:hAnsi="Tahoma" w:cs="Tahoma"/>
          <w:color w:val="000000"/>
          <w:sz w:val="22"/>
          <w:szCs w:val="22"/>
        </w:rPr>
        <w:t xml:space="preserve">Dra. Janette Elke Ramírez Maynetto; </w:t>
      </w:r>
      <w:r w:rsidRPr="00864326">
        <w:rPr>
          <w:rFonts w:ascii="Tahoma" w:eastAsiaTheme="minorHAnsi" w:hAnsi="Tahoma" w:cs="Tahoma"/>
          <w:color w:val="000000"/>
          <w:sz w:val="22"/>
          <w:szCs w:val="22"/>
        </w:rPr>
        <w:t>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003542" w:rsidRPr="00864326" w:rsidRDefault="00003542" w:rsidP="00003542">
      <w:pPr>
        <w:ind w:firstLine="426"/>
        <w:jc w:val="both"/>
        <w:rPr>
          <w:rFonts w:ascii="Tahoma" w:hAnsi="Tahoma" w:cs="Tahoma"/>
          <w:sz w:val="22"/>
          <w:szCs w:val="22"/>
        </w:rPr>
      </w:pPr>
    </w:p>
    <w:p w:rsidR="00003542" w:rsidRPr="00864326" w:rsidRDefault="00003542" w:rsidP="001F5BC8">
      <w:pPr>
        <w:jc w:val="both"/>
        <w:rPr>
          <w:rFonts w:ascii="Tahoma" w:hAnsi="Tahoma" w:cs="Tahoma"/>
          <w:b/>
          <w:sz w:val="22"/>
          <w:szCs w:val="22"/>
        </w:rPr>
      </w:pPr>
      <w:r w:rsidRPr="00864326">
        <w:rPr>
          <w:rFonts w:ascii="Tahoma" w:hAnsi="Tahoma" w:cs="Tahoma"/>
          <w:b/>
          <w:sz w:val="22"/>
          <w:szCs w:val="22"/>
        </w:rPr>
        <w:t xml:space="preserve">LA SALA RESUELVE: </w:t>
      </w:r>
    </w:p>
    <w:p w:rsidR="00003542" w:rsidRPr="00864326" w:rsidRDefault="00003542" w:rsidP="00003542">
      <w:pPr>
        <w:jc w:val="both"/>
        <w:rPr>
          <w:rFonts w:ascii="Tahoma" w:hAnsi="Tahoma" w:cs="Tahoma"/>
          <w:snapToGrid w:val="0"/>
          <w:sz w:val="22"/>
          <w:szCs w:val="22"/>
        </w:rPr>
      </w:pPr>
    </w:p>
    <w:p w:rsidR="00003542" w:rsidRDefault="00003542" w:rsidP="001F5BC8">
      <w:pPr>
        <w:pStyle w:val="Prrafodelista"/>
        <w:numPr>
          <w:ilvl w:val="0"/>
          <w:numId w:val="18"/>
        </w:numPr>
        <w:ind w:left="567" w:hanging="567"/>
        <w:jc w:val="both"/>
        <w:rPr>
          <w:rFonts w:ascii="Tahoma" w:hAnsi="Tahoma" w:cs="Tahoma"/>
          <w:sz w:val="22"/>
          <w:szCs w:val="22"/>
        </w:rPr>
      </w:pPr>
      <w:r w:rsidRPr="00DD7E5D">
        <w:rPr>
          <w:rFonts w:ascii="Tahoma" w:hAnsi="Tahoma" w:cs="Tahoma"/>
          <w:sz w:val="22"/>
          <w:szCs w:val="22"/>
        </w:rPr>
        <w:t xml:space="preserve">Declarar no ha lugar </w:t>
      </w:r>
      <w:r>
        <w:rPr>
          <w:rFonts w:ascii="Tahoma" w:hAnsi="Tahoma" w:cs="Tahoma"/>
          <w:sz w:val="22"/>
          <w:szCs w:val="22"/>
        </w:rPr>
        <w:t>la imposición de sanción</w:t>
      </w:r>
      <w:r w:rsidRPr="00DD7E5D">
        <w:rPr>
          <w:rFonts w:ascii="Tahoma" w:hAnsi="Tahoma" w:cs="Tahoma"/>
          <w:sz w:val="22"/>
          <w:szCs w:val="22"/>
        </w:rPr>
        <w:t xml:space="preserve"> contra </w:t>
      </w:r>
      <w:r w:rsidRPr="00DD7E5D">
        <w:rPr>
          <w:rFonts w:ascii="Tahoma" w:eastAsia="MS Mincho" w:hAnsi="Tahoma" w:cs="Tahoma"/>
          <w:sz w:val="22"/>
          <w:szCs w:val="22"/>
        </w:rPr>
        <w:t xml:space="preserve">la empresa </w:t>
      </w:r>
      <w:r w:rsidRPr="00DD7E5D">
        <w:rPr>
          <w:rFonts w:ascii="Tahoma" w:hAnsi="Tahoma" w:cs="Tahoma"/>
          <w:sz w:val="22"/>
          <w:szCs w:val="22"/>
        </w:rPr>
        <w:t>TERRAMAR INSPECTION &amp; TRADING S.A.C., debiendo archivarse el presente expediente</w:t>
      </w:r>
      <w:r w:rsidR="001F5BC8">
        <w:rPr>
          <w:rFonts w:ascii="Tahoma" w:hAnsi="Tahoma" w:cs="Tahoma"/>
          <w:sz w:val="22"/>
          <w:szCs w:val="22"/>
        </w:rPr>
        <w:t>.</w:t>
      </w:r>
    </w:p>
    <w:p w:rsidR="001F5BC8" w:rsidRDefault="001F5BC8" w:rsidP="00003542">
      <w:pPr>
        <w:pStyle w:val="Prrafodelista"/>
        <w:ind w:left="426"/>
        <w:jc w:val="both"/>
        <w:rPr>
          <w:rFonts w:ascii="Tahoma" w:hAnsi="Tahoma" w:cs="Tahoma"/>
          <w:color w:val="000000" w:themeColor="text1"/>
          <w:sz w:val="22"/>
          <w:szCs w:val="22"/>
          <w:lang w:val="es-ES"/>
        </w:rPr>
      </w:pPr>
    </w:p>
    <w:p w:rsidR="001F5BC8" w:rsidRPr="00864326" w:rsidRDefault="001F5BC8" w:rsidP="00003542">
      <w:pPr>
        <w:pStyle w:val="Prrafodelista"/>
        <w:ind w:left="426"/>
        <w:jc w:val="both"/>
        <w:rPr>
          <w:rFonts w:ascii="Tahoma" w:hAnsi="Tahoma" w:cs="Tahoma"/>
          <w:color w:val="000000" w:themeColor="text1"/>
          <w:sz w:val="22"/>
          <w:szCs w:val="22"/>
          <w:lang w:val="es-ES"/>
        </w:rPr>
      </w:pPr>
    </w:p>
    <w:p w:rsidR="00003542" w:rsidRPr="00864326" w:rsidRDefault="00003542" w:rsidP="00003542">
      <w:pPr>
        <w:pStyle w:val="Textoindependiente21"/>
        <w:ind w:firstLine="567"/>
        <w:rPr>
          <w:rFonts w:cs="Tahoma"/>
          <w:szCs w:val="22"/>
        </w:rPr>
      </w:pPr>
      <w:r w:rsidRPr="00864326">
        <w:rPr>
          <w:rFonts w:cs="Tahoma"/>
          <w:szCs w:val="22"/>
        </w:rPr>
        <w:t>Regístrese, comuníquese y publíquese.</w:t>
      </w:r>
    </w:p>
    <w:p w:rsidR="00003542" w:rsidRPr="00864326" w:rsidRDefault="00003542" w:rsidP="00003542">
      <w:pPr>
        <w:jc w:val="center"/>
        <w:rPr>
          <w:rFonts w:ascii="Tahoma" w:hAnsi="Tahoma" w:cs="Tahoma"/>
          <w:b/>
          <w:sz w:val="22"/>
          <w:szCs w:val="22"/>
        </w:rPr>
      </w:pPr>
    </w:p>
    <w:p w:rsidR="00003542" w:rsidRPr="00864326" w:rsidRDefault="00003542" w:rsidP="00003542">
      <w:pPr>
        <w:jc w:val="center"/>
        <w:rPr>
          <w:rFonts w:ascii="Tahoma" w:hAnsi="Tahoma" w:cs="Tahoma"/>
          <w:b/>
          <w:sz w:val="22"/>
          <w:szCs w:val="22"/>
        </w:rPr>
      </w:pPr>
    </w:p>
    <w:p w:rsidR="00003542" w:rsidRPr="00864326" w:rsidRDefault="00003542" w:rsidP="00003542">
      <w:pPr>
        <w:jc w:val="center"/>
        <w:rPr>
          <w:rFonts w:ascii="Tahoma" w:hAnsi="Tahoma" w:cs="Tahoma"/>
          <w:b/>
          <w:sz w:val="22"/>
          <w:szCs w:val="22"/>
        </w:rPr>
      </w:pPr>
    </w:p>
    <w:p w:rsidR="00003542" w:rsidRDefault="00003542" w:rsidP="00003542">
      <w:pPr>
        <w:jc w:val="center"/>
        <w:rPr>
          <w:rFonts w:ascii="Tahoma" w:hAnsi="Tahoma" w:cs="Tahoma"/>
          <w:b/>
          <w:sz w:val="22"/>
          <w:szCs w:val="22"/>
        </w:rPr>
      </w:pPr>
    </w:p>
    <w:p w:rsidR="00003542" w:rsidRDefault="00003542" w:rsidP="00003542">
      <w:pPr>
        <w:jc w:val="center"/>
        <w:rPr>
          <w:rFonts w:ascii="Tahoma" w:hAnsi="Tahoma" w:cs="Tahoma"/>
          <w:b/>
          <w:sz w:val="22"/>
          <w:szCs w:val="22"/>
        </w:rPr>
      </w:pPr>
    </w:p>
    <w:p w:rsidR="00003542" w:rsidRDefault="00003542" w:rsidP="00003542">
      <w:pPr>
        <w:jc w:val="center"/>
        <w:rPr>
          <w:rFonts w:ascii="Tahoma" w:hAnsi="Tahoma" w:cs="Tahoma"/>
          <w:b/>
          <w:sz w:val="22"/>
          <w:szCs w:val="22"/>
        </w:rPr>
      </w:pPr>
    </w:p>
    <w:p w:rsidR="00003542" w:rsidRDefault="00003542" w:rsidP="00003542">
      <w:pPr>
        <w:jc w:val="center"/>
        <w:rPr>
          <w:rFonts w:ascii="Tahoma" w:hAnsi="Tahoma" w:cs="Tahoma"/>
          <w:b/>
          <w:sz w:val="22"/>
          <w:szCs w:val="22"/>
        </w:rPr>
      </w:pPr>
    </w:p>
    <w:p w:rsidR="00003542" w:rsidRPr="00864326" w:rsidRDefault="00003542" w:rsidP="00003542">
      <w:pPr>
        <w:jc w:val="center"/>
        <w:rPr>
          <w:rFonts w:ascii="Tahoma" w:hAnsi="Tahoma" w:cs="Tahoma"/>
          <w:b/>
          <w:sz w:val="22"/>
          <w:szCs w:val="22"/>
        </w:rPr>
      </w:pPr>
    </w:p>
    <w:p w:rsidR="00003542" w:rsidRPr="00864326" w:rsidRDefault="00003542" w:rsidP="00003542">
      <w:pPr>
        <w:jc w:val="center"/>
        <w:rPr>
          <w:rFonts w:ascii="Tahoma" w:hAnsi="Tahoma" w:cs="Tahoma"/>
          <w:b/>
          <w:sz w:val="22"/>
          <w:szCs w:val="22"/>
        </w:rPr>
      </w:pPr>
    </w:p>
    <w:p w:rsidR="00003542" w:rsidRPr="00864326" w:rsidRDefault="00003542" w:rsidP="00003542">
      <w:pPr>
        <w:jc w:val="center"/>
        <w:rPr>
          <w:rFonts w:ascii="Tahoma" w:hAnsi="Tahoma" w:cs="Tahoma"/>
          <w:b/>
          <w:sz w:val="22"/>
          <w:szCs w:val="22"/>
        </w:rPr>
      </w:pPr>
    </w:p>
    <w:p w:rsidR="00003542" w:rsidRPr="00864326" w:rsidRDefault="00003542" w:rsidP="00003542">
      <w:pPr>
        <w:jc w:val="center"/>
        <w:rPr>
          <w:rFonts w:ascii="Tahoma" w:hAnsi="Tahoma" w:cs="Tahoma"/>
          <w:b/>
          <w:shadow/>
          <w:sz w:val="22"/>
          <w:szCs w:val="22"/>
          <w:lang w:val="pt-BR"/>
        </w:rPr>
      </w:pPr>
      <w:r w:rsidRPr="00864326">
        <w:rPr>
          <w:rFonts w:ascii="Tahoma" w:hAnsi="Tahoma" w:cs="Tahoma"/>
          <w:b/>
          <w:shadow/>
          <w:sz w:val="22"/>
          <w:szCs w:val="22"/>
          <w:lang w:val="pt-BR"/>
        </w:rPr>
        <w:t>PRESIDENTE</w:t>
      </w:r>
    </w:p>
    <w:p w:rsidR="00003542" w:rsidRPr="00864326" w:rsidRDefault="00003542" w:rsidP="00003542">
      <w:pPr>
        <w:ind w:firstLine="708"/>
        <w:rPr>
          <w:rFonts w:ascii="Tahoma" w:hAnsi="Tahoma" w:cs="Tahoma"/>
          <w:b/>
          <w:shadow/>
          <w:sz w:val="22"/>
          <w:szCs w:val="22"/>
          <w:lang w:val="pt-BR"/>
        </w:rPr>
      </w:pPr>
      <w:r w:rsidRPr="00864326">
        <w:rPr>
          <w:rFonts w:ascii="Tahoma" w:hAnsi="Tahoma" w:cs="Tahoma"/>
          <w:b/>
          <w:shadow/>
          <w:sz w:val="22"/>
          <w:szCs w:val="22"/>
          <w:lang w:val="pt-BR"/>
        </w:rPr>
        <w:t xml:space="preserve">VOCAL           </w:t>
      </w:r>
      <w:r w:rsidRPr="00864326">
        <w:rPr>
          <w:rFonts w:ascii="Tahoma" w:hAnsi="Tahoma" w:cs="Tahoma"/>
          <w:b/>
          <w:shadow/>
          <w:sz w:val="22"/>
          <w:szCs w:val="22"/>
          <w:lang w:val="pt-BR"/>
        </w:rPr>
        <w:tab/>
      </w:r>
      <w:r w:rsidRPr="00864326">
        <w:rPr>
          <w:rFonts w:ascii="Tahoma" w:hAnsi="Tahoma" w:cs="Tahoma"/>
          <w:b/>
          <w:shadow/>
          <w:sz w:val="22"/>
          <w:szCs w:val="22"/>
          <w:lang w:val="pt-BR"/>
        </w:rPr>
        <w:tab/>
        <w:t xml:space="preserve">                                                    VOCAL</w:t>
      </w:r>
    </w:p>
    <w:p w:rsidR="00003542" w:rsidRPr="00864326" w:rsidRDefault="00003542" w:rsidP="00003542">
      <w:pPr>
        <w:jc w:val="both"/>
        <w:rPr>
          <w:rFonts w:ascii="Tahoma" w:hAnsi="Tahoma" w:cs="Tahoma"/>
          <w:sz w:val="22"/>
          <w:szCs w:val="22"/>
          <w:lang w:val="pt-BR"/>
        </w:rPr>
      </w:pPr>
      <w:r w:rsidRPr="00864326">
        <w:rPr>
          <w:rFonts w:ascii="Tahoma" w:hAnsi="Tahoma" w:cs="Tahoma"/>
          <w:sz w:val="22"/>
          <w:szCs w:val="22"/>
          <w:lang w:val="pt-BR"/>
        </w:rPr>
        <w:t>ss.</w:t>
      </w:r>
    </w:p>
    <w:p w:rsidR="00003542" w:rsidRPr="00864326" w:rsidRDefault="00003542" w:rsidP="00003542">
      <w:pPr>
        <w:pStyle w:val="Textoindependiente21"/>
        <w:tabs>
          <w:tab w:val="left" w:pos="5250"/>
        </w:tabs>
        <w:rPr>
          <w:rFonts w:cs="Tahoma"/>
          <w:szCs w:val="22"/>
          <w:lang w:val="pt-BR"/>
        </w:rPr>
      </w:pPr>
      <w:r w:rsidRPr="00864326">
        <w:rPr>
          <w:rFonts w:cs="Tahoma"/>
          <w:szCs w:val="22"/>
          <w:lang w:val="pt-BR"/>
        </w:rPr>
        <w:t>Navas Rondón.</w:t>
      </w:r>
    </w:p>
    <w:p w:rsidR="00003542" w:rsidRPr="00864326" w:rsidRDefault="00003542" w:rsidP="00003542">
      <w:pPr>
        <w:pStyle w:val="Textoindependiente21"/>
        <w:tabs>
          <w:tab w:val="left" w:pos="5250"/>
        </w:tabs>
        <w:rPr>
          <w:rFonts w:cs="Tahoma"/>
          <w:szCs w:val="22"/>
          <w:lang w:val="pt-BR"/>
        </w:rPr>
      </w:pPr>
      <w:r w:rsidRPr="00864326">
        <w:rPr>
          <w:rFonts w:cs="Tahoma"/>
          <w:szCs w:val="22"/>
        </w:rPr>
        <w:t>Ramírez Maynetto.</w:t>
      </w:r>
    </w:p>
    <w:p w:rsidR="00003542" w:rsidRPr="00864326" w:rsidRDefault="00003542" w:rsidP="00003542">
      <w:pPr>
        <w:pStyle w:val="Textoindependiente21"/>
        <w:rPr>
          <w:rFonts w:cs="Tahoma"/>
          <w:szCs w:val="22"/>
        </w:rPr>
      </w:pPr>
      <w:r w:rsidRPr="00864326">
        <w:rPr>
          <w:rFonts w:cs="Tahoma"/>
          <w:szCs w:val="22"/>
        </w:rPr>
        <w:t>Basulto Liewald.</w:t>
      </w:r>
    </w:p>
    <w:p w:rsidR="00003542" w:rsidRDefault="00003542" w:rsidP="00003542"/>
    <w:p w:rsidR="008B738B" w:rsidRDefault="009A3D28"/>
    <w:sectPr w:rsidR="008B738B" w:rsidSect="00864326">
      <w:headerReference w:type="default" r:id="rId9"/>
      <w:footerReference w:type="default" r:id="rId10"/>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3D28" w:rsidRDefault="009A3D28" w:rsidP="00003542">
      <w:pPr>
        <w:pStyle w:val="Textoindependiente"/>
        <w:spacing w:after="0"/>
      </w:pPr>
      <w:r>
        <w:separator/>
      </w:r>
    </w:p>
  </w:endnote>
  <w:endnote w:type="continuationSeparator" w:id="1">
    <w:p w:rsidR="009A3D28" w:rsidRDefault="009A3D28" w:rsidP="00003542">
      <w:pPr>
        <w:pStyle w:val="Textoindependiente"/>
        <w:spacing w:after="0"/>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19265"/>
      <w:docPartObj>
        <w:docPartGallery w:val="Page Numbers (Bottom of Page)"/>
        <w:docPartUnique/>
      </w:docPartObj>
    </w:sdtPr>
    <w:sdtContent>
      <w:sdt>
        <w:sdtPr>
          <w:id w:val="216747541"/>
          <w:docPartObj>
            <w:docPartGallery w:val="Page Numbers (Top of Page)"/>
            <w:docPartUnique/>
          </w:docPartObj>
        </w:sdtPr>
        <w:sdtContent>
          <w:p w:rsidR="00864326" w:rsidRDefault="00146E16">
            <w:pPr>
              <w:pStyle w:val="Piedepgina"/>
              <w:jc w:val="center"/>
            </w:pPr>
            <w:r>
              <w:t xml:space="preserve">Página </w:t>
            </w:r>
            <w:r w:rsidR="00C511A8">
              <w:rPr>
                <w:b/>
              </w:rPr>
              <w:fldChar w:fldCharType="begin"/>
            </w:r>
            <w:r>
              <w:rPr>
                <w:b/>
              </w:rPr>
              <w:instrText>PAGE</w:instrText>
            </w:r>
            <w:r w:rsidR="00C511A8">
              <w:rPr>
                <w:b/>
              </w:rPr>
              <w:fldChar w:fldCharType="separate"/>
            </w:r>
            <w:r w:rsidR="005E6DFB">
              <w:rPr>
                <w:b/>
                <w:noProof/>
              </w:rPr>
              <w:t>1</w:t>
            </w:r>
            <w:r w:rsidR="00C511A8">
              <w:rPr>
                <w:b/>
              </w:rPr>
              <w:fldChar w:fldCharType="end"/>
            </w:r>
            <w:r>
              <w:t xml:space="preserve"> de </w:t>
            </w:r>
            <w:r w:rsidR="00C511A8">
              <w:rPr>
                <w:b/>
              </w:rPr>
              <w:fldChar w:fldCharType="begin"/>
            </w:r>
            <w:r>
              <w:rPr>
                <w:b/>
              </w:rPr>
              <w:instrText>NUMPAGES</w:instrText>
            </w:r>
            <w:r w:rsidR="00C511A8">
              <w:rPr>
                <w:b/>
              </w:rPr>
              <w:fldChar w:fldCharType="separate"/>
            </w:r>
            <w:r w:rsidR="005E6DFB">
              <w:rPr>
                <w:b/>
                <w:noProof/>
              </w:rPr>
              <w:t>14</w:t>
            </w:r>
            <w:r w:rsidR="00C511A8">
              <w:rPr>
                <w:b/>
              </w:rPr>
              <w:fldChar w:fldCharType="end"/>
            </w:r>
          </w:p>
        </w:sdtContent>
      </w:sdt>
    </w:sdtContent>
  </w:sdt>
  <w:p w:rsidR="00864326" w:rsidRDefault="009A3D2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3D28" w:rsidRDefault="009A3D28" w:rsidP="00003542">
      <w:pPr>
        <w:pStyle w:val="Textoindependiente"/>
        <w:spacing w:after="0"/>
      </w:pPr>
      <w:r>
        <w:separator/>
      </w:r>
    </w:p>
  </w:footnote>
  <w:footnote w:type="continuationSeparator" w:id="1">
    <w:p w:rsidR="009A3D28" w:rsidRDefault="009A3D28" w:rsidP="00003542">
      <w:pPr>
        <w:pStyle w:val="Textoindependiente"/>
        <w:spacing w:after="0"/>
      </w:pPr>
      <w:r>
        <w:continuationSeparator/>
      </w:r>
    </w:p>
  </w:footnote>
  <w:footnote w:id="2">
    <w:p w:rsidR="00003542" w:rsidRPr="00285227" w:rsidRDefault="00003542" w:rsidP="00003542">
      <w:pPr>
        <w:pStyle w:val="Textonotapie"/>
        <w:rPr>
          <w:rFonts w:ascii="Tahoma" w:hAnsi="Tahoma" w:cs="Tahoma"/>
          <w:i/>
          <w:sz w:val="16"/>
          <w:szCs w:val="16"/>
        </w:rPr>
      </w:pPr>
      <w:r w:rsidRPr="00CA1C02">
        <w:rPr>
          <w:rStyle w:val="Refdenotaalpie"/>
          <w:rFonts w:ascii="Tahoma" w:hAnsi="Tahoma" w:cs="Tahoma"/>
          <w:i/>
        </w:rPr>
        <w:footnoteRef/>
      </w:r>
      <w:r w:rsidRPr="00CA1C02">
        <w:rPr>
          <w:rFonts w:ascii="Tahoma" w:hAnsi="Tahoma" w:cs="Tahoma"/>
          <w:i/>
        </w:rPr>
        <w:t xml:space="preserve"> </w:t>
      </w:r>
      <w:r w:rsidRPr="00285227">
        <w:rPr>
          <w:rFonts w:ascii="Tahoma" w:hAnsi="Tahoma" w:cs="Tahoma"/>
          <w:i/>
          <w:sz w:val="16"/>
          <w:szCs w:val="16"/>
        </w:rPr>
        <w:t>Publicada el 23 de julio de 2006.</w:t>
      </w:r>
    </w:p>
  </w:footnote>
  <w:footnote w:id="3">
    <w:p w:rsidR="00003542" w:rsidRPr="00285227" w:rsidRDefault="00003542" w:rsidP="00003542">
      <w:pPr>
        <w:pStyle w:val="Textonotapie"/>
        <w:rPr>
          <w:rFonts w:ascii="Tahoma" w:hAnsi="Tahoma" w:cs="Tahoma"/>
          <w:i/>
          <w:sz w:val="16"/>
          <w:szCs w:val="16"/>
        </w:rPr>
      </w:pPr>
      <w:r w:rsidRPr="00285227">
        <w:rPr>
          <w:rStyle w:val="Refdenotaalpie"/>
          <w:rFonts w:ascii="Tahoma" w:hAnsi="Tahoma" w:cs="Tahoma"/>
          <w:i/>
          <w:sz w:val="16"/>
          <w:szCs w:val="16"/>
        </w:rPr>
        <w:footnoteRef/>
      </w:r>
      <w:r w:rsidRPr="00285227">
        <w:rPr>
          <w:rFonts w:ascii="Tahoma" w:hAnsi="Tahoma" w:cs="Tahoma"/>
          <w:i/>
          <w:sz w:val="16"/>
          <w:szCs w:val="16"/>
        </w:rPr>
        <w:t xml:space="preserve"> Pu</w:t>
      </w:r>
      <w:r>
        <w:rPr>
          <w:rFonts w:ascii="Tahoma" w:hAnsi="Tahoma" w:cs="Tahoma"/>
          <w:i/>
          <w:sz w:val="16"/>
          <w:szCs w:val="16"/>
        </w:rPr>
        <w:t>blicada el 12 de diciembre del 2009</w:t>
      </w:r>
      <w:r w:rsidRPr="00285227">
        <w:rPr>
          <w:rFonts w:ascii="Tahoma" w:hAnsi="Tahoma" w:cs="Tahoma"/>
          <w:i/>
          <w:sz w:val="16"/>
          <w:szCs w:val="16"/>
        </w:rPr>
        <w:t>.</w:t>
      </w:r>
    </w:p>
  </w:footnote>
  <w:footnote w:id="4">
    <w:p w:rsidR="00003542" w:rsidRDefault="00003542" w:rsidP="00003542">
      <w:pPr>
        <w:pStyle w:val="Textonotapie"/>
        <w:ind w:left="154" w:hanging="140"/>
        <w:jc w:val="both"/>
      </w:pPr>
      <w:r>
        <w:rPr>
          <w:rStyle w:val="Refdenotaalpie"/>
        </w:rPr>
        <w:footnoteRef/>
      </w:r>
      <w:r>
        <w:t xml:space="preserve"> Resolución Nº 1217-2008-TC-S3,  Resolución Nº 963-2007-TC-S1, Resolución Nº 336-2007-TC-S1, entre otras.</w:t>
      </w:r>
    </w:p>
    <w:p w:rsidR="00003542" w:rsidRDefault="00003542" w:rsidP="00003542">
      <w:pPr>
        <w:pStyle w:val="Textonotapie"/>
      </w:pPr>
    </w:p>
  </w:footnote>
  <w:footnote w:id="5">
    <w:p w:rsidR="00003542" w:rsidRDefault="00003542" w:rsidP="00003542">
      <w:pPr>
        <w:pStyle w:val="Textonotapie"/>
      </w:pPr>
      <w:r>
        <w:rPr>
          <w:rStyle w:val="Refdenotaalpie"/>
        </w:rPr>
        <w:footnoteRef/>
      </w:r>
      <w:r>
        <w:t xml:space="preserve"> Dromi, Roberto.  “Licitación Pública”. Editorial Ciudad Argentina (Segunda Edición) – Gaceta Jurídica S.A. (Primera Edición) Pág. 50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DFB" w:rsidRDefault="005E6DFB" w:rsidP="005E6DFB">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3"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5E6DFB" w:rsidRDefault="005E6DFB" w:rsidP="005E6DFB">
    <w:pPr>
      <w:pStyle w:val="Encabezado"/>
      <w:rPr>
        <w:noProof/>
      </w:rPr>
    </w:pPr>
  </w:p>
  <w:p w:rsidR="005E6DFB" w:rsidRDefault="005E6DFB" w:rsidP="005E6DFB">
    <w:pPr>
      <w:pStyle w:val="Encabezado"/>
      <w:rPr>
        <w:noProof/>
      </w:rPr>
    </w:pPr>
  </w:p>
  <w:p w:rsidR="005E6DFB" w:rsidRDefault="005E6DFB" w:rsidP="005E6DFB">
    <w:pPr>
      <w:pStyle w:val="Encabezado"/>
      <w:rPr>
        <w:noProof/>
      </w:rPr>
    </w:pPr>
  </w:p>
  <w:p w:rsidR="005E6DFB" w:rsidRDefault="005E6DFB" w:rsidP="005E6DFB">
    <w:pPr>
      <w:pStyle w:val="Encabezado"/>
      <w:jc w:val="center"/>
    </w:pPr>
    <w:r>
      <w:rPr>
        <w:rFonts w:ascii="Monotype Corsiva" w:hAnsi="Monotype Corsiva"/>
        <w:b/>
        <w:sz w:val="44"/>
        <w:szCs w:val="44"/>
      </w:rPr>
      <w:t xml:space="preserve">Resolución Nº   </w:t>
    </w:r>
    <w:r>
      <w:rPr>
        <w:rFonts w:ascii="Tahoma" w:hAnsi="Tahoma" w:cs="Tahoma"/>
        <w:b/>
        <w:sz w:val="44"/>
        <w:szCs w:val="44"/>
      </w:rPr>
      <w:t>629-2011-TC-S1</w:t>
    </w:r>
  </w:p>
  <w:p w:rsidR="005E6DFB" w:rsidRDefault="005E6DF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C11EB"/>
    <w:multiLevelType w:val="hybridMultilevel"/>
    <w:tmpl w:val="444A21FA"/>
    <w:lvl w:ilvl="0" w:tplc="0C0A0017">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1">
    <w:nsid w:val="1B3D30F7"/>
    <w:multiLevelType w:val="hybridMultilevel"/>
    <w:tmpl w:val="7E62ED1E"/>
    <w:lvl w:ilvl="0" w:tplc="7CE6059C">
      <w:start w:val="2"/>
      <w:numFmt w:val="bullet"/>
      <w:lvlText w:val="-"/>
      <w:lvlJc w:val="left"/>
      <w:pPr>
        <w:ind w:left="1080" w:hanging="360"/>
      </w:pPr>
      <w:rPr>
        <w:rFonts w:ascii="Tahoma" w:eastAsia="Calibri" w:hAnsi="Tahoma" w:cs="Tahoma"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
    <w:nsid w:val="22221ACC"/>
    <w:multiLevelType w:val="hybridMultilevel"/>
    <w:tmpl w:val="04708A10"/>
    <w:lvl w:ilvl="0" w:tplc="13FE5872">
      <w:start w:val="1"/>
      <w:numFmt w:val="lowerRoman"/>
      <w:lvlText w:val="%1."/>
      <w:lvlJc w:val="left"/>
      <w:pPr>
        <w:ind w:left="1428" w:hanging="360"/>
      </w:pPr>
      <w:rPr>
        <w:rFonts w:hint="default"/>
        <w:i w:val="0"/>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3">
    <w:nsid w:val="26333D00"/>
    <w:multiLevelType w:val="hybridMultilevel"/>
    <w:tmpl w:val="04708A10"/>
    <w:lvl w:ilvl="0" w:tplc="13FE5872">
      <w:start w:val="1"/>
      <w:numFmt w:val="lowerRoman"/>
      <w:lvlText w:val="%1."/>
      <w:lvlJc w:val="left"/>
      <w:pPr>
        <w:ind w:left="1428" w:hanging="360"/>
      </w:pPr>
      <w:rPr>
        <w:rFonts w:hint="default"/>
        <w:i w:val="0"/>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4">
    <w:nsid w:val="284E7A42"/>
    <w:multiLevelType w:val="hybridMultilevel"/>
    <w:tmpl w:val="D6E23F0C"/>
    <w:lvl w:ilvl="0" w:tplc="F7BC6E0A">
      <w:start w:val="1"/>
      <w:numFmt w:val="bullet"/>
      <w:lvlText w:val="-"/>
      <w:lvlJc w:val="left"/>
      <w:pPr>
        <w:ind w:left="927" w:hanging="360"/>
      </w:pPr>
      <w:rPr>
        <w:rFonts w:ascii="Tahoma" w:eastAsia="Calibri" w:hAnsi="Tahoma" w:cs="Tahoma"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5">
    <w:nsid w:val="292F1C20"/>
    <w:multiLevelType w:val="hybridMultilevel"/>
    <w:tmpl w:val="824AEFB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34E62973"/>
    <w:multiLevelType w:val="hybridMultilevel"/>
    <w:tmpl w:val="991EC14A"/>
    <w:lvl w:ilvl="0" w:tplc="8EA03CE0">
      <w:start w:val="1"/>
      <w:numFmt w:val="decimal"/>
      <w:lvlText w:val="%1."/>
      <w:lvlJc w:val="right"/>
      <w:pPr>
        <w:ind w:left="72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61322C8"/>
    <w:multiLevelType w:val="hybridMultilevel"/>
    <w:tmpl w:val="F5BAAAF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382365F1"/>
    <w:multiLevelType w:val="hybridMultilevel"/>
    <w:tmpl w:val="53E01A04"/>
    <w:lvl w:ilvl="0" w:tplc="7C067134">
      <w:start w:val="1"/>
      <w:numFmt w:val="decimal"/>
      <w:lvlText w:val="%1."/>
      <w:lvlJc w:val="left"/>
      <w:pPr>
        <w:tabs>
          <w:tab w:val="num" w:pos="454"/>
        </w:tabs>
        <w:ind w:left="454" w:hanging="454"/>
      </w:pPr>
      <w:rPr>
        <w:rFonts w:ascii="Tahoma" w:hAnsi="Tahoma" w:cs="Tahoma" w:hint="default"/>
        <w:b/>
        <w:i w:val="0"/>
        <w:shadow/>
        <w:color w:val="auto"/>
        <w:sz w:val="20"/>
        <w:szCs w:val="20"/>
      </w:rPr>
    </w:lvl>
    <w:lvl w:ilvl="1" w:tplc="775A4820">
      <w:start w:val="1"/>
      <w:numFmt w:val="upperRoman"/>
      <w:isLgl/>
      <w:lvlText w:val="%2."/>
      <w:lvlJc w:val="left"/>
      <w:pPr>
        <w:tabs>
          <w:tab w:val="num" w:pos="1174"/>
        </w:tabs>
        <w:ind w:left="1174" w:hanging="720"/>
      </w:pPr>
      <w:rPr>
        <w:rFonts w:ascii="Times New Roman" w:eastAsia="Times New Roman" w:hAnsi="Times New Roman" w:cs="Times New Roman"/>
        <w:b/>
      </w:rPr>
    </w:lvl>
    <w:lvl w:ilvl="2" w:tplc="415AAF92">
      <w:numFmt w:val="none"/>
      <w:lvlText w:val=""/>
      <w:lvlJc w:val="left"/>
      <w:pPr>
        <w:tabs>
          <w:tab w:val="num" w:pos="360"/>
        </w:tabs>
      </w:pPr>
    </w:lvl>
    <w:lvl w:ilvl="3" w:tplc="0DC21650">
      <w:numFmt w:val="none"/>
      <w:lvlText w:val=""/>
      <w:lvlJc w:val="left"/>
      <w:pPr>
        <w:tabs>
          <w:tab w:val="num" w:pos="360"/>
        </w:tabs>
      </w:pPr>
    </w:lvl>
    <w:lvl w:ilvl="4" w:tplc="7C5AF8B4">
      <w:numFmt w:val="none"/>
      <w:lvlText w:val=""/>
      <w:lvlJc w:val="left"/>
      <w:pPr>
        <w:tabs>
          <w:tab w:val="num" w:pos="360"/>
        </w:tabs>
      </w:pPr>
    </w:lvl>
    <w:lvl w:ilvl="5" w:tplc="9A7040EE">
      <w:numFmt w:val="none"/>
      <w:lvlText w:val=""/>
      <w:lvlJc w:val="left"/>
      <w:pPr>
        <w:tabs>
          <w:tab w:val="num" w:pos="360"/>
        </w:tabs>
      </w:pPr>
    </w:lvl>
    <w:lvl w:ilvl="6" w:tplc="40A2ED64">
      <w:numFmt w:val="none"/>
      <w:lvlText w:val=""/>
      <w:lvlJc w:val="left"/>
      <w:pPr>
        <w:tabs>
          <w:tab w:val="num" w:pos="360"/>
        </w:tabs>
      </w:pPr>
    </w:lvl>
    <w:lvl w:ilvl="7" w:tplc="9356F91C">
      <w:numFmt w:val="none"/>
      <w:lvlText w:val=""/>
      <w:lvlJc w:val="left"/>
      <w:pPr>
        <w:tabs>
          <w:tab w:val="num" w:pos="360"/>
        </w:tabs>
      </w:pPr>
    </w:lvl>
    <w:lvl w:ilvl="8" w:tplc="3A1EF428">
      <w:numFmt w:val="none"/>
      <w:lvlText w:val=""/>
      <w:lvlJc w:val="left"/>
      <w:pPr>
        <w:tabs>
          <w:tab w:val="num" w:pos="360"/>
        </w:tabs>
      </w:pPr>
    </w:lvl>
  </w:abstractNum>
  <w:abstractNum w:abstractNumId="9">
    <w:nsid w:val="400D64AE"/>
    <w:multiLevelType w:val="hybridMultilevel"/>
    <w:tmpl w:val="611245D0"/>
    <w:lvl w:ilvl="0" w:tplc="8EA03CE0">
      <w:start w:val="1"/>
      <w:numFmt w:val="decimal"/>
      <w:lvlText w:val="%1."/>
      <w:lvlJc w:val="right"/>
      <w:pPr>
        <w:ind w:left="72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4527370C"/>
    <w:multiLevelType w:val="hybridMultilevel"/>
    <w:tmpl w:val="F6FA7ACE"/>
    <w:lvl w:ilvl="0" w:tplc="0C0A0017">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11">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4E35EF0"/>
    <w:multiLevelType w:val="hybridMultilevel"/>
    <w:tmpl w:val="EE024192"/>
    <w:lvl w:ilvl="0" w:tplc="0C0A0019">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3">
    <w:nsid w:val="588947B3"/>
    <w:multiLevelType w:val="hybridMultilevel"/>
    <w:tmpl w:val="BD2E343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5E1931F5"/>
    <w:multiLevelType w:val="hybridMultilevel"/>
    <w:tmpl w:val="6B52A2B0"/>
    <w:lvl w:ilvl="0" w:tplc="EAB4C47A">
      <w:start w:val="1"/>
      <w:numFmt w:val="decimal"/>
      <w:lvlText w:val="%1."/>
      <w:lvlJc w:val="left"/>
      <w:pPr>
        <w:tabs>
          <w:tab w:val="num" w:pos="360"/>
        </w:tabs>
        <w:ind w:left="360" w:hanging="360"/>
      </w:pPr>
      <w:rPr>
        <w:rFonts w:ascii="Tahoma" w:hAnsi="Tahoma" w:cs="Tahoma" w:hint="default"/>
        <w:b/>
        <w:sz w:val="24"/>
        <w:szCs w:val="24"/>
      </w:rPr>
    </w:lvl>
    <w:lvl w:ilvl="1" w:tplc="23EEA8BE">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631B4696"/>
    <w:multiLevelType w:val="hybridMultilevel"/>
    <w:tmpl w:val="50DC8C56"/>
    <w:lvl w:ilvl="0" w:tplc="8EA03CE0">
      <w:start w:val="1"/>
      <w:numFmt w:val="decimal"/>
      <w:lvlText w:val="%1."/>
      <w:lvlJc w:val="right"/>
      <w:pPr>
        <w:ind w:left="72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651362AE"/>
    <w:multiLevelType w:val="hybridMultilevel"/>
    <w:tmpl w:val="E5D483A2"/>
    <w:lvl w:ilvl="0" w:tplc="AF34D252">
      <w:start w:val="1"/>
      <w:numFmt w:val="lowerRoman"/>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7">
    <w:nsid w:val="65E9606D"/>
    <w:multiLevelType w:val="hybridMultilevel"/>
    <w:tmpl w:val="13E0B654"/>
    <w:lvl w:ilvl="0" w:tplc="0C0A0019">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11"/>
  </w:num>
  <w:num w:numId="2">
    <w:abstractNumId w:val="6"/>
  </w:num>
  <w:num w:numId="3">
    <w:abstractNumId w:val="3"/>
  </w:num>
  <w:num w:numId="4">
    <w:abstractNumId w:val="16"/>
  </w:num>
  <w:num w:numId="5">
    <w:abstractNumId w:val="4"/>
  </w:num>
  <w:num w:numId="6">
    <w:abstractNumId w:val="9"/>
  </w:num>
  <w:num w:numId="7">
    <w:abstractNumId w:val="12"/>
  </w:num>
  <w:num w:numId="8">
    <w:abstractNumId w:val="17"/>
  </w:num>
  <w:num w:numId="9">
    <w:abstractNumId w:val="1"/>
  </w:num>
  <w:num w:numId="10">
    <w:abstractNumId w:val="7"/>
  </w:num>
  <w:num w:numId="11">
    <w:abstractNumId w:val="2"/>
  </w:num>
  <w:num w:numId="12">
    <w:abstractNumId w:val="15"/>
  </w:num>
  <w:num w:numId="13">
    <w:abstractNumId w:val="8"/>
  </w:num>
  <w:num w:numId="14">
    <w:abstractNumId w:val="0"/>
  </w:num>
  <w:num w:numId="15">
    <w:abstractNumId w:val="10"/>
  </w:num>
  <w:num w:numId="16">
    <w:abstractNumId w:val="13"/>
  </w:num>
  <w:num w:numId="17">
    <w:abstractNumId w:val="14"/>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003542"/>
    <w:rsid w:val="00003542"/>
    <w:rsid w:val="000F32F7"/>
    <w:rsid w:val="00146E16"/>
    <w:rsid w:val="001F5BC8"/>
    <w:rsid w:val="005E6DFB"/>
    <w:rsid w:val="005F0E2E"/>
    <w:rsid w:val="009042C5"/>
    <w:rsid w:val="009A3D28"/>
    <w:rsid w:val="009D6093"/>
    <w:rsid w:val="00BD327E"/>
    <w:rsid w:val="00C511A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542"/>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003542"/>
    <w:pPr>
      <w:spacing w:after="120"/>
    </w:pPr>
    <w:rPr>
      <w:sz w:val="16"/>
      <w:szCs w:val="16"/>
      <w:lang w:val="es-PE"/>
    </w:rPr>
  </w:style>
  <w:style w:type="character" w:customStyle="1" w:styleId="Textoindependiente3Car">
    <w:name w:val="Texto independiente 3 Car"/>
    <w:basedOn w:val="Fuentedeprrafopredeter"/>
    <w:link w:val="Textoindependiente3"/>
    <w:rsid w:val="00003542"/>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003542"/>
    <w:pPr>
      <w:jc w:val="both"/>
    </w:pPr>
    <w:rPr>
      <w:rFonts w:ascii="Tahoma" w:hAnsi="Tahoma"/>
      <w:sz w:val="22"/>
      <w:szCs w:val="20"/>
    </w:rPr>
  </w:style>
  <w:style w:type="paragraph" w:styleId="Prrafodelista">
    <w:name w:val="List Paragraph"/>
    <w:basedOn w:val="Normal"/>
    <w:uiPriority w:val="34"/>
    <w:qFormat/>
    <w:rsid w:val="00003542"/>
    <w:pPr>
      <w:widowControl w:val="0"/>
      <w:suppressAutoHyphens/>
      <w:ind w:left="708"/>
    </w:pPr>
    <w:rPr>
      <w:szCs w:val="20"/>
      <w:lang w:val="es-ES_tradnl"/>
    </w:rPr>
  </w:style>
  <w:style w:type="paragraph" w:styleId="Piedepgina">
    <w:name w:val="footer"/>
    <w:basedOn w:val="Normal"/>
    <w:link w:val="PiedepginaCar"/>
    <w:uiPriority w:val="99"/>
    <w:unhideWhenUsed/>
    <w:rsid w:val="00003542"/>
    <w:pPr>
      <w:tabs>
        <w:tab w:val="center" w:pos="4252"/>
        <w:tab w:val="right" w:pos="8504"/>
      </w:tabs>
    </w:pPr>
  </w:style>
  <w:style w:type="character" w:customStyle="1" w:styleId="PiedepginaCar">
    <w:name w:val="Pie de página Car"/>
    <w:basedOn w:val="Fuentedeprrafopredeter"/>
    <w:link w:val="Piedepgina"/>
    <w:uiPriority w:val="99"/>
    <w:rsid w:val="00003542"/>
    <w:rPr>
      <w:rFonts w:ascii="Times New Roman" w:eastAsia="Times New Roman" w:hAnsi="Times New Roman" w:cs="Times New Roman"/>
      <w:sz w:val="24"/>
      <w:szCs w:val="24"/>
      <w:lang w:eastAsia="es-ES"/>
    </w:rPr>
  </w:style>
  <w:style w:type="paragraph" w:styleId="Textonotapie">
    <w:name w:val="footnote text"/>
    <w:aliases w:val="Car,Car Car Car,Car4, Car,Texto nota pie1, Car4,Body Text,Texto independiente1,Car Car Car Car Car,Texto independiente2, Car1 Car,Car1 Car, Car2 Car Car Car Car Car, Car2 Car Car, Car2 Car Car Car Car Car Car, Car2 Car1 Car, Car Car Car"/>
    <w:basedOn w:val="Normal"/>
    <w:link w:val="TextonotapieCar"/>
    <w:rsid w:val="00003542"/>
    <w:rPr>
      <w:sz w:val="20"/>
      <w:szCs w:val="20"/>
    </w:rPr>
  </w:style>
  <w:style w:type="character" w:customStyle="1" w:styleId="TextonotapieCar">
    <w:name w:val="Texto nota pie Car"/>
    <w:aliases w:val="Car Car,Car Car Car Car,Car4 Car, Car Car,Texto nota pie1 Car, Car4 Car,Body Text Car,Texto independiente1 Car,Car Car Car Car Car Car,Texto independiente2 Car, Car1 Car Car,Car1 Car Car, Car2 Car Car Car Car Car Car1, Car Car Car Car"/>
    <w:basedOn w:val="Fuentedeprrafopredeter"/>
    <w:link w:val="Textonotapie"/>
    <w:rsid w:val="00003542"/>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003542"/>
    <w:rPr>
      <w:rFonts w:cs="Times New Roman"/>
      <w:vertAlign w:val="superscript"/>
    </w:rPr>
  </w:style>
  <w:style w:type="paragraph" w:styleId="Textoindependiente">
    <w:name w:val="Body Text"/>
    <w:basedOn w:val="Normal"/>
    <w:link w:val="TextoindependienteCar"/>
    <w:uiPriority w:val="99"/>
    <w:rsid w:val="00003542"/>
    <w:pPr>
      <w:spacing w:after="120"/>
    </w:pPr>
  </w:style>
  <w:style w:type="character" w:customStyle="1" w:styleId="TextoindependienteCar">
    <w:name w:val="Texto independiente Car"/>
    <w:basedOn w:val="Fuentedeprrafopredeter"/>
    <w:link w:val="Textoindependiente"/>
    <w:uiPriority w:val="99"/>
    <w:rsid w:val="00003542"/>
    <w:rPr>
      <w:rFonts w:ascii="Times New Roman" w:eastAsia="Times New Roman" w:hAnsi="Times New Roman" w:cs="Times New Roman"/>
      <w:sz w:val="24"/>
      <w:szCs w:val="24"/>
      <w:lang w:eastAsia="es-ES"/>
    </w:rPr>
  </w:style>
  <w:style w:type="table" w:styleId="Tablaconcuadrcula">
    <w:name w:val="Table Grid"/>
    <w:basedOn w:val="Tablanormal"/>
    <w:uiPriority w:val="59"/>
    <w:rsid w:val="000035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003542"/>
    <w:rPr>
      <w:rFonts w:ascii="Tahoma" w:hAnsi="Tahoma" w:cs="Tahoma"/>
      <w:sz w:val="16"/>
      <w:szCs w:val="16"/>
    </w:rPr>
  </w:style>
  <w:style w:type="character" w:customStyle="1" w:styleId="TextodegloboCar">
    <w:name w:val="Texto de globo Car"/>
    <w:basedOn w:val="Fuentedeprrafopredeter"/>
    <w:link w:val="Textodeglobo"/>
    <w:uiPriority w:val="99"/>
    <w:semiHidden/>
    <w:rsid w:val="00003542"/>
    <w:rPr>
      <w:rFonts w:ascii="Tahoma" w:eastAsia="Times New Roman" w:hAnsi="Tahoma" w:cs="Tahoma"/>
      <w:sz w:val="16"/>
      <w:szCs w:val="16"/>
      <w:lang w:eastAsia="es-ES"/>
    </w:rPr>
  </w:style>
  <w:style w:type="paragraph" w:styleId="Encabezado">
    <w:name w:val="header"/>
    <w:aliases w:val="maria,h"/>
    <w:basedOn w:val="Normal"/>
    <w:link w:val="EncabezadoCar"/>
    <w:uiPriority w:val="99"/>
    <w:semiHidden/>
    <w:unhideWhenUsed/>
    <w:rsid w:val="005E6DFB"/>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5E6DFB"/>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21754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4700</Words>
  <Characters>25852</Characters>
  <Application>Microsoft Office Word</Application>
  <DocSecurity>0</DocSecurity>
  <Lines>215</Lines>
  <Paragraphs>60</Paragraphs>
  <ScaleCrop>false</ScaleCrop>
  <Company/>
  <LinksUpToDate>false</LinksUpToDate>
  <CharactersWithSpaces>30492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5</cp:revision>
  <cp:lastPrinted>2011-04-12T17:53:00Z</cp:lastPrinted>
  <dcterms:created xsi:type="dcterms:W3CDTF">2011-04-12T17:46:00Z</dcterms:created>
  <dcterms:modified xsi:type="dcterms:W3CDTF">2011-05-09T14:10:00Z</dcterms:modified>
</cp:coreProperties>
</file>